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E8E" w:rsidRPr="00082D50" w:rsidRDefault="00FB0E31" w:rsidP="00442A14">
      <w:bookmarkStart w:id="0" w:name="_GoBack"/>
      <w:bookmarkEnd w:id="0"/>
      <w:r w:rsidRPr="00082D50">
        <w:t xml:space="preserve">PRESERVING </w:t>
      </w:r>
      <w:r w:rsidRPr="00DE5F8F">
        <w:rPr>
          <w:i/>
        </w:rPr>
        <w:t xml:space="preserve">MORTON </w:t>
      </w:r>
      <w:r w:rsidR="0030318A" w:rsidRPr="00DE5F8F">
        <w:rPr>
          <w:i/>
        </w:rPr>
        <w:t>v</w:t>
      </w:r>
      <w:r w:rsidRPr="00DE5F8F">
        <w:rPr>
          <w:i/>
        </w:rPr>
        <w:t>. MA</w:t>
      </w:r>
      <w:r w:rsidR="0030318A" w:rsidRPr="00DE5F8F">
        <w:rPr>
          <w:i/>
        </w:rPr>
        <w:t>N</w:t>
      </w:r>
      <w:r w:rsidRPr="00DE5F8F">
        <w:rPr>
          <w:i/>
        </w:rPr>
        <w:t>CARI’S</w:t>
      </w:r>
      <w:r w:rsidRPr="00082D50">
        <w:t xml:space="preserve"> DYNAMIC LEGACY</w:t>
      </w:r>
    </w:p>
    <w:p w:rsidR="0030318A" w:rsidRDefault="0030318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E41C2A" w:rsidRDefault="00E41C2A" w:rsidP="0030318A">
      <w:pPr>
        <w:spacing w:after="0" w:line="240" w:lineRule="auto"/>
        <w:jc w:val="center"/>
      </w:pPr>
    </w:p>
    <w:p w:rsidR="00FB0E31" w:rsidRDefault="00FB0E31" w:rsidP="0030318A">
      <w:pPr>
        <w:spacing w:after="0" w:line="240" w:lineRule="auto"/>
        <w:jc w:val="center"/>
      </w:pPr>
      <w:r>
        <w:t>Harry R. Sachse</w:t>
      </w:r>
      <w:r w:rsidR="00433459">
        <w:t>, Esquire</w:t>
      </w:r>
    </w:p>
    <w:p w:rsidR="00FB0E31" w:rsidRDefault="00FB0E31" w:rsidP="0030318A">
      <w:pPr>
        <w:spacing w:after="0" w:line="240" w:lineRule="auto"/>
        <w:jc w:val="center"/>
      </w:pPr>
      <w:proofErr w:type="spellStart"/>
      <w:r>
        <w:t>Sonosky</w:t>
      </w:r>
      <w:proofErr w:type="spellEnd"/>
      <w:r>
        <w:t xml:space="preserve">, Chambers, Sachse, </w:t>
      </w:r>
      <w:proofErr w:type="spellStart"/>
      <w:r>
        <w:t>Endreson</w:t>
      </w:r>
      <w:proofErr w:type="spellEnd"/>
      <w:r>
        <w:t xml:space="preserve"> and Perry</w:t>
      </w:r>
    </w:p>
    <w:p w:rsidR="00FB0E31" w:rsidRDefault="0030318A" w:rsidP="0030318A">
      <w:pPr>
        <w:spacing w:after="0" w:line="240" w:lineRule="auto"/>
        <w:jc w:val="center"/>
      </w:pPr>
      <w:r>
        <w:t>1425 K Street, N.W., Suite 600</w:t>
      </w:r>
    </w:p>
    <w:p w:rsidR="00FB0E31" w:rsidRDefault="00FB0E31" w:rsidP="0030318A">
      <w:pPr>
        <w:spacing w:after="0" w:line="240" w:lineRule="auto"/>
        <w:jc w:val="center"/>
      </w:pPr>
      <w:r>
        <w:t>Washington, D.C., 20005</w:t>
      </w:r>
    </w:p>
    <w:p w:rsidR="0030318A" w:rsidRDefault="0030318A" w:rsidP="0030318A">
      <w:pPr>
        <w:spacing w:after="0" w:line="240" w:lineRule="auto"/>
        <w:jc w:val="center"/>
      </w:pPr>
      <w:r>
        <w:t>(P) (202) 682-0240, (F) (202) 682-0249</w:t>
      </w:r>
    </w:p>
    <w:p w:rsidR="00FB0E31" w:rsidRDefault="00442A14" w:rsidP="0030318A">
      <w:pPr>
        <w:spacing w:after="0" w:line="240" w:lineRule="auto"/>
        <w:jc w:val="center"/>
      </w:pPr>
      <w:hyperlink r:id="rId8" w:history="1">
        <w:r w:rsidR="00FB0E31" w:rsidRPr="00656F90">
          <w:rPr>
            <w:rStyle w:val="Hyperlink"/>
          </w:rPr>
          <w:t>hsachse@sonosky.com</w:t>
        </w:r>
      </w:hyperlink>
    </w:p>
    <w:p w:rsidR="0030318A" w:rsidRDefault="0030318A" w:rsidP="0030318A">
      <w:pPr>
        <w:spacing w:after="0" w:line="240" w:lineRule="auto"/>
        <w:jc w:val="center"/>
      </w:pPr>
    </w:p>
    <w:p w:rsidR="00AD7FB4" w:rsidRDefault="00AD7FB4"/>
    <w:p w:rsidR="00AD7FB4" w:rsidRPr="00AD7FB4" w:rsidRDefault="00AD7FB4" w:rsidP="00AD7FB4"/>
    <w:p w:rsidR="00AD7FB4" w:rsidRPr="00AD7FB4" w:rsidRDefault="00AD7FB4" w:rsidP="00AD7FB4"/>
    <w:p w:rsidR="00AD7FB4" w:rsidRPr="00AD7FB4" w:rsidRDefault="00AD7FB4" w:rsidP="00AD7FB4"/>
    <w:p w:rsidR="00AD7FB4" w:rsidRPr="00AD7FB4" w:rsidRDefault="00AD7FB4" w:rsidP="00AD7FB4"/>
    <w:p w:rsidR="00AD7FB4" w:rsidRPr="00AD7FB4" w:rsidRDefault="00AD7FB4" w:rsidP="00AD7FB4"/>
    <w:p w:rsidR="00AD7FB4" w:rsidRPr="00AD7FB4" w:rsidRDefault="00AD7FB4" w:rsidP="00AD7FB4"/>
    <w:p w:rsidR="00AD7FB4" w:rsidRDefault="00433459" w:rsidP="00AD7FB4">
      <w:pPr>
        <w:jc w:val="center"/>
      </w:pPr>
      <w:r>
        <w:t>February 8,</w:t>
      </w:r>
      <w:r w:rsidR="00AD7FB4">
        <w:t xml:space="preserve"> 2013</w:t>
      </w:r>
    </w:p>
    <w:p w:rsidR="00AD7FB4" w:rsidRDefault="00AD7FB4" w:rsidP="00AD7FB4"/>
    <w:p w:rsidR="001A6E7A" w:rsidRPr="00AD7FB4" w:rsidRDefault="001A6E7A" w:rsidP="00AD7FB4">
      <w:pPr>
        <w:sectPr w:rsidR="001A6E7A" w:rsidRPr="00AD7FB4" w:rsidSect="001A6E7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titlePg/>
          <w:docGrid w:linePitch="360"/>
        </w:sectPr>
      </w:pPr>
    </w:p>
    <w:p w:rsidR="00FB0E31" w:rsidRPr="001A6E7A" w:rsidRDefault="001F0445" w:rsidP="001A6E7A">
      <w:pPr>
        <w:spacing w:after="0" w:line="240" w:lineRule="auto"/>
        <w:jc w:val="center"/>
        <w:rPr>
          <w:b/>
          <w:i/>
        </w:rPr>
      </w:pPr>
      <w:r w:rsidRPr="001A6E7A">
        <w:rPr>
          <w:b/>
          <w:i/>
        </w:rPr>
        <w:lastRenderedPageBreak/>
        <w:t xml:space="preserve">MORTON </w:t>
      </w:r>
      <w:r w:rsidR="00E41C2A" w:rsidRPr="001A6E7A">
        <w:rPr>
          <w:b/>
          <w:i/>
        </w:rPr>
        <w:t>v</w:t>
      </w:r>
      <w:r w:rsidRPr="001A6E7A">
        <w:rPr>
          <w:b/>
          <w:i/>
        </w:rPr>
        <w:t>. MANCARI</w:t>
      </w:r>
    </w:p>
    <w:p w:rsidR="0030318A" w:rsidRPr="001F0445" w:rsidRDefault="0030318A" w:rsidP="0030318A">
      <w:pPr>
        <w:spacing w:after="0" w:line="240" w:lineRule="auto"/>
        <w:rPr>
          <w:b/>
        </w:rPr>
      </w:pPr>
    </w:p>
    <w:p w:rsidR="00FB0E31" w:rsidRDefault="00FB0E31" w:rsidP="00F93EE1">
      <w:pPr>
        <w:spacing w:after="0" w:line="360" w:lineRule="auto"/>
        <w:ind w:firstLine="720"/>
        <w:rPr>
          <w:b/>
        </w:rPr>
      </w:pPr>
      <w:r>
        <w:t>The 1970’s were major years in the civil rights battle to bring minorities in the United States into the mainstream of American life, and to stop discrimination based on race.</w:t>
      </w:r>
      <w:r w:rsidR="004B66D3">
        <w:t xml:space="preserve"> As part of that battle, Congress passed the Equal Employment Opportunity Act of 1972, which provided, with certain listed exceptions, not including </w:t>
      </w:r>
      <w:r w:rsidR="00E631FB">
        <w:t>the BIA,</w:t>
      </w:r>
      <w:r w:rsidR="004B66D3">
        <w:t xml:space="preserve"> that “</w:t>
      </w:r>
      <w:r w:rsidR="004B66D3" w:rsidRPr="004B66D3">
        <w:rPr>
          <w:b/>
        </w:rPr>
        <w:t>All personnel actions …</w:t>
      </w:r>
      <w:r w:rsidR="002255B9">
        <w:rPr>
          <w:b/>
        </w:rPr>
        <w:t xml:space="preserve"> </w:t>
      </w:r>
      <w:r w:rsidR="004B66D3" w:rsidRPr="004B66D3">
        <w:rPr>
          <w:b/>
        </w:rPr>
        <w:t>of the Federal Government</w:t>
      </w:r>
      <w:r w:rsidR="001A6E7A">
        <w:rPr>
          <w:b/>
        </w:rPr>
        <w:t xml:space="preserve"> </w:t>
      </w:r>
      <w:r w:rsidR="004B66D3" w:rsidRPr="004B66D3">
        <w:rPr>
          <w:b/>
        </w:rPr>
        <w:t>shall be made free from any discrimination based on race, color, religion, sex, or national origin.</w:t>
      </w:r>
      <w:r w:rsidR="004B66D3">
        <w:rPr>
          <w:rStyle w:val="FootnoteReference"/>
        </w:rPr>
        <w:footnoteReference w:id="1"/>
      </w:r>
    </w:p>
    <w:p w:rsidR="00E41C2A" w:rsidRDefault="00E41C2A" w:rsidP="00F93EE1">
      <w:pPr>
        <w:spacing w:after="0" w:line="360" w:lineRule="auto"/>
        <w:rPr>
          <w:b/>
        </w:rPr>
      </w:pPr>
    </w:p>
    <w:p w:rsidR="00E631FB" w:rsidRDefault="00E631FB" w:rsidP="00F93EE1">
      <w:pPr>
        <w:spacing w:after="0" w:line="360" w:lineRule="auto"/>
        <w:ind w:firstLine="720"/>
        <w:rPr>
          <w:b/>
        </w:rPr>
      </w:pPr>
      <w:r>
        <w:t>The 1934 Indian Reorganization Act authorized the Secretary of the Interior to set standards for various offices within the BIA and the</w:t>
      </w:r>
      <w:r w:rsidR="00E24314">
        <w:t>n</w:t>
      </w:r>
      <w:r>
        <w:t xml:space="preserve"> provided that Indian</w:t>
      </w:r>
      <w:r w:rsidR="00DE5F8F">
        <w:t>s</w:t>
      </w:r>
      <w:r>
        <w:t xml:space="preserve"> who meet those qualifications can be hired without going through civil service requirements and “</w:t>
      </w:r>
      <w:r>
        <w:rPr>
          <w:b/>
        </w:rPr>
        <w:t>shall hereafter have the preference to appointment to vacancies in any such positions.”</w:t>
      </w:r>
      <w:r w:rsidRPr="008808C0">
        <w:rPr>
          <w:rStyle w:val="FootnoteReference"/>
        </w:rPr>
        <w:footnoteReference w:id="2"/>
      </w:r>
    </w:p>
    <w:p w:rsidR="00E41C2A" w:rsidRDefault="00E41C2A" w:rsidP="00F93EE1">
      <w:pPr>
        <w:spacing w:after="0" w:line="360" w:lineRule="auto"/>
        <w:rPr>
          <w:b/>
        </w:rPr>
      </w:pPr>
    </w:p>
    <w:p w:rsidR="00CF1A9A" w:rsidRPr="00F93EE1" w:rsidRDefault="00CF1A9A" w:rsidP="00F93EE1">
      <w:pPr>
        <w:spacing w:after="0" w:line="360" w:lineRule="auto"/>
        <w:ind w:firstLine="720"/>
      </w:pPr>
      <w:r>
        <w:t>In June of 1972, Secretary of the Interior Morton approved a policy of applying the IRA preference not only to hiring, but to promotions within the Bureau of Indian Affairs.   A group of non-Indian Albuquerque BIA employees objected and brought a class action in the Federal District Court for New Mexico challenging the new regulation and any Indian preference as a violation of the 1972 Equal Employment Opportunity Act and the Due Process clause of the Fifth Amendment.</w:t>
      </w:r>
      <w:r w:rsidR="00E41C2A">
        <w:t xml:space="preserve">  </w:t>
      </w:r>
      <w:r>
        <w:t>This is the case now known</w:t>
      </w:r>
      <w:r w:rsidR="008F7A68">
        <w:t xml:space="preserve">, from its name on appeal, </w:t>
      </w:r>
      <w:r>
        <w:t xml:space="preserve">as </w:t>
      </w:r>
      <w:r>
        <w:rPr>
          <w:i/>
        </w:rPr>
        <w:t xml:space="preserve">Morton v. </w:t>
      </w:r>
      <w:proofErr w:type="spellStart"/>
      <w:r>
        <w:rPr>
          <w:i/>
        </w:rPr>
        <w:t>Mancari</w:t>
      </w:r>
      <w:proofErr w:type="spellEnd"/>
      <w:r>
        <w:rPr>
          <w:i/>
        </w:rPr>
        <w:t>.</w:t>
      </w:r>
      <w:r w:rsidR="00F93EE1">
        <w:rPr>
          <w:rStyle w:val="FootnoteReference"/>
          <w:i/>
        </w:rPr>
        <w:footnoteReference w:id="3"/>
      </w:r>
    </w:p>
    <w:p w:rsidR="00E41C2A" w:rsidRDefault="00E41C2A" w:rsidP="00F93EE1">
      <w:pPr>
        <w:spacing w:after="0" w:line="360" w:lineRule="auto"/>
        <w:rPr>
          <w:i/>
        </w:rPr>
      </w:pPr>
    </w:p>
    <w:p w:rsidR="00463C2A" w:rsidRDefault="008F7A68" w:rsidP="00F93EE1">
      <w:pPr>
        <w:spacing w:after="0" w:line="360" w:lineRule="auto"/>
        <w:ind w:firstLine="720"/>
      </w:pPr>
      <w:r>
        <w:t xml:space="preserve">The District Court heard the case as a three-judge court with direct appeal to the Supreme Court. </w:t>
      </w:r>
      <w:r w:rsidR="00F87042">
        <w:t xml:space="preserve"> After a trial on how the new regulation was being implemented, the Court held unanimously that the Equal Employment Opportunity Act had repealed the 1934 Act</w:t>
      </w:r>
      <w:r w:rsidR="00E24314">
        <w:t>’s hiring</w:t>
      </w:r>
      <w:r w:rsidR="00F87042">
        <w:t xml:space="preserve"> preference.  The Court also said that its ruling was influenced by the probabl</w:t>
      </w:r>
      <w:r w:rsidR="00E24314">
        <w:t>e</w:t>
      </w:r>
      <w:r w:rsidR="00F87042">
        <w:t xml:space="preserve"> unconstitutionality of the preference if it had not been repealed.  The court permanently enjoined the Secretary from implementing any policy that would hire or promote or reassign a person in the Bureau of Indian affairs “in preference to another</w:t>
      </w:r>
      <w:r w:rsidR="00463C2A">
        <w:t xml:space="preserve"> solely for the reason that such person is an Indian.”  </w:t>
      </w:r>
      <w:proofErr w:type="gramStart"/>
      <w:r w:rsidR="00463C2A">
        <w:t>417 U.S. at 540.</w:t>
      </w:r>
      <w:proofErr w:type="gramEnd"/>
      <w:r w:rsidR="00463C2A">
        <w:t xml:space="preserve"> </w:t>
      </w:r>
    </w:p>
    <w:p w:rsidR="001A6E7A" w:rsidRDefault="00463C2A" w:rsidP="00F93EE1">
      <w:pPr>
        <w:spacing w:after="0" w:line="360" w:lineRule="auto"/>
        <w:ind w:firstLine="720"/>
      </w:pPr>
      <w:r>
        <w:lastRenderedPageBreak/>
        <w:t>The Supreme Court took the case on appeal.</w:t>
      </w:r>
      <w:r w:rsidR="00DE5F8F">
        <w:t xml:space="preserve">  W</w:t>
      </w:r>
      <w:r>
        <w:t xml:space="preserve">arren Burger was the Chief Justice and the other Justices were Douglas, Brennan, Stewart, White, Marshall, Blackmun, Powell, and </w:t>
      </w:r>
      <w:r w:rsidR="00E41C2A">
        <w:t>Rehnquist</w:t>
      </w:r>
      <w:r>
        <w:t>.  This was a very liberal court by today’s standards, but that was not necessarily good for winning this case.  A liberal could well be against any preference based on race.</w:t>
      </w:r>
    </w:p>
    <w:p w:rsidR="001A6E7A" w:rsidRDefault="001A6E7A" w:rsidP="00F93EE1">
      <w:pPr>
        <w:spacing w:after="0" w:line="360" w:lineRule="auto"/>
        <w:ind w:firstLine="720"/>
      </w:pPr>
    </w:p>
    <w:p w:rsidR="005B5FA5" w:rsidRDefault="00924B10" w:rsidP="00F93EE1">
      <w:pPr>
        <w:spacing w:after="0" w:line="360" w:lineRule="auto"/>
        <w:ind w:firstLine="720"/>
      </w:pPr>
      <w:r>
        <w:t>I was an assistant to</w:t>
      </w:r>
      <w:r w:rsidR="00C30144">
        <w:t xml:space="preserve"> the</w:t>
      </w:r>
      <w:r>
        <w:t xml:space="preserve"> Solicitor General at the time the case came up, and it was assigned to me for briefing and argument. </w:t>
      </w:r>
      <w:r w:rsidR="005D6801">
        <w:t xml:space="preserve"> </w:t>
      </w:r>
      <w:r w:rsidR="00C30144">
        <w:t xml:space="preserve">What I remember the most from the argument was the issue of an Indian preference not being a racial preference </w:t>
      </w:r>
      <w:r w:rsidR="0030318A">
        <w:t>–</w:t>
      </w:r>
      <w:r w:rsidR="00C30144">
        <w:t xml:space="preserve"> and</w:t>
      </w:r>
      <w:r w:rsidR="0030318A">
        <w:t xml:space="preserve"> </w:t>
      </w:r>
      <w:r w:rsidR="00C30144">
        <w:t xml:space="preserve">that has been the most important result of the case.  But for this presentation I </w:t>
      </w:r>
      <w:r w:rsidR="002255B9">
        <w:t>not only re</w:t>
      </w:r>
      <w:r w:rsidR="00DE5F8F">
        <w:t>-</w:t>
      </w:r>
      <w:r w:rsidR="002255B9">
        <w:t xml:space="preserve">read the decision but </w:t>
      </w:r>
      <w:r w:rsidR="00C30144">
        <w:t xml:space="preserve">went back and read the brief we filed and listened to the argument. </w:t>
      </w:r>
      <w:r w:rsidR="005D6801">
        <w:t xml:space="preserve"> </w:t>
      </w:r>
      <w:r w:rsidR="00C30144">
        <w:t>(</w:t>
      </w:r>
      <w:r w:rsidR="005B5FA5">
        <w:t xml:space="preserve">I was </w:t>
      </w:r>
      <w:r w:rsidR="00E24314">
        <w:t>happy</w:t>
      </w:r>
      <w:r w:rsidR="005B5FA5">
        <w:t xml:space="preserve"> to find that you can get not only all the briefs but an audio of all the</w:t>
      </w:r>
      <w:r w:rsidR="00E328B6">
        <w:t xml:space="preserve"> oral</w:t>
      </w:r>
      <w:r w:rsidR="005B5FA5">
        <w:t xml:space="preserve"> arguments going that far</w:t>
      </w:r>
      <w:r w:rsidR="00E24314">
        <w:t xml:space="preserve"> back</w:t>
      </w:r>
      <w:r w:rsidR="005B5FA5">
        <w:t xml:space="preserve"> on </w:t>
      </w:r>
      <w:r w:rsidR="0057311D" w:rsidRPr="0057311D">
        <w:t>www.oyez.org</w:t>
      </w:r>
      <w:r w:rsidR="005D6801">
        <w:t>.</w:t>
      </w:r>
      <w:r w:rsidR="005B5FA5">
        <w:t>)</w:t>
      </w:r>
    </w:p>
    <w:p w:rsidR="00E41C2A" w:rsidRDefault="00E41C2A" w:rsidP="00F93EE1">
      <w:pPr>
        <w:spacing w:after="0" w:line="360" w:lineRule="auto"/>
      </w:pPr>
    </w:p>
    <w:p w:rsidR="00E41C2A" w:rsidRDefault="005B5FA5" w:rsidP="00F93EE1">
      <w:pPr>
        <w:spacing w:after="0" w:line="360" w:lineRule="auto"/>
        <w:ind w:firstLine="720"/>
      </w:pPr>
      <w:r>
        <w:t>In the brief, we review</w:t>
      </w:r>
      <w:r w:rsidR="002255B9">
        <w:t>ed</w:t>
      </w:r>
      <w:r>
        <w:t xml:space="preserve"> cases on the role of the United States as trustee for the Indians, the special status of Indians in the</w:t>
      </w:r>
      <w:r w:rsidR="002255B9">
        <w:t xml:space="preserve"> Constitution under the</w:t>
      </w:r>
      <w:r>
        <w:t xml:space="preserve"> </w:t>
      </w:r>
      <w:r w:rsidR="00EC7F24">
        <w:t>Commerce Clause and</w:t>
      </w:r>
      <w:r w:rsidR="00F93EE1">
        <w:t xml:space="preserve"> in </w:t>
      </w:r>
      <w:r w:rsidR="00EC7F24">
        <w:t xml:space="preserve">Treaties, and the </w:t>
      </w:r>
      <w:r w:rsidR="002255B9">
        <w:t xml:space="preserve">long </w:t>
      </w:r>
      <w:r>
        <w:t xml:space="preserve">mistreatment that the Indian Reorganization Act, and the preference </w:t>
      </w:r>
      <w:r w:rsidR="002255B9">
        <w:t xml:space="preserve">it </w:t>
      </w:r>
      <w:r>
        <w:t>established</w:t>
      </w:r>
      <w:r w:rsidR="005D6801">
        <w:t>,</w:t>
      </w:r>
      <w:r>
        <w:t xml:space="preserve"> </w:t>
      </w:r>
      <w:r w:rsidR="00EC7F24">
        <w:t>tried to correct.</w:t>
      </w:r>
      <w:r w:rsidR="002255B9">
        <w:t xml:space="preserve">  </w:t>
      </w:r>
      <w:r>
        <w:t xml:space="preserve">We </w:t>
      </w:r>
      <w:r w:rsidR="00F93EE1">
        <w:t xml:space="preserve">documented </w:t>
      </w:r>
      <w:r>
        <w:t xml:space="preserve">that most of the employees of the BIA work on the reservations, </w:t>
      </w:r>
      <w:r w:rsidR="00F93EE1">
        <w:t>not in Washington or regional offices.  We also documented the</w:t>
      </w:r>
      <w:r w:rsidR="00E24314">
        <w:t xml:space="preserve"> decline of Indian life under </w:t>
      </w:r>
      <w:r w:rsidR="002255B9">
        <w:t>BIA</w:t>
      </w:r>
      <w:r w:rsidR="00E24314">
        <w:t xml:space="preserve"> supervision</w:t>
      </w:r>
      <w:r w:rsidR="00F93EE1">
        <w:t xml:space="preserve"> before the IRA and </w:t>
      </w:r>
      <w:r w:rsidR="006E70C4">
        <w:t>ho</w:t>
      </w:r>
      <w:r w:rsidR="00F93EE1">
        <w:t>w Congress</w:t>
      </w:r>
      <w:r w:rsidR="006E70C4">
        <w:t xml:space="preserve"> in </w:t>
      </w:r>
      <w:r>
        <w:t>the IRA tried to correct this</w:t>
      </w:r>
      <w:r w:rsidR="00433459">
        <w:t xml:space="preserve">. Part of that correction was </w:t>
      </w:r>
      <w:r>
        <w:t>th</w:t>
      </w:r>
      <w:r w:rsidR="00F93EE1">
        <w:t>rough the employment</w:t>
      </w:r>
      <w:r>
        <w:t xml:space="preserve"> preference for Indians</w:t>
      </w:r>
      <w:r w:rsidR="00AD2291">
        <w:t xml:space="preserve"> established in the IRA</w:t>
      </w:r>
      <w:r>
        <w:t>.   We used this as part of our argument that</w:t>
      </w:r>
      <w:r w:rsidR="00E24314">
        <w:t xml:space="preserve"> in enacting </w:t>
      </w:r>
      <w:r>
        <w:t>the E</w:t>
      </w:r>
      <w:r w:rsidR="00E24314">
        <w:t>qual Employment Opportunity Act,</w:t>
      </w:r>
      <w:r>
        <w:t xml:space="preserve"> Congress could not have intended </w:t>
      </w:r>
      <w:r w:rsidR="00E24314">
        <w:t>to repeal these provisions s</w:t>
      </w:r>
      <w:r w:rsidR="00E24314">
        <w:rPr>
          <w:i/>
        </w:rPr>
        <w:t xml:space="preserve">ub </w:t>
      </w:r>
      <w:proofErr w:type="spellStart"/>
      <w:r w:rsidR="00E24314">
        <w:rPr>
          <w:i/>
        </w:rPr>
        <w:t>silento</w:t>
      </w:r>
      <w:proofErr w:type="spellEnd"/>
      <w:r w:rsidR="00E24314">
        <w:rPr>
          <w:i/>
        </w:rPr>
        <w:t>.</w:t>
      </w:r>
      <w:r w:rsidR="00E328B6">
        <w:rPr>
          <w:i/>
        </w:rPr>
        <w:t xml:space="preserve"> </w:t>
      </w:r>
      <w:r>
        <w:t xml:space="preserve"> </w:t>
      </w:r>
      <w:r w:rsidR="00E24314">
        <w:t xml:space="preserve">In </w:t>
      </w:r>
      <w:r w:rsidR="002255B9">
        <w:t>the Court’s unanimous Opinion,</w:t>
      </w:r>
      <w:r w:rsidR="00E24314">
        <w:t xml:space="preserve"> written by Justice </w:t>
      </w:r>
      <w:r w:rsidR="00DC574F">
        <w:t>Blackmun, the Court recited this history too</w:t>
      </w:r>
      <w:r w:rsidR="00DE5F8F">
        <w:t>,</w:t>
      </w:r>
      <w:r w:rsidR="00DC574F">
        <w:t xml:space="preserve"> and ruled that Congress in the Equal Employment Act did not repeal this provision of the IRA expressly or by implication</w:t>
      </w:r>
      <w:r w:rsidR="00E41C2A">
        <w:t>.</w:t>
      </w:r>
    </w:p>
    <w:p w:rsidR="00EC7F24" w:rsidRDefault="00EC7F24" w:rsidP="00F93EE1">
      <w:pPr>
        <w:spacing w:after="0" w:line="360" w:lineRule="auto"/>
      </w:pPr>
      <w:r>
        <w:t xml:space="preserve"> </w:t>
      </w:r>
    </w:p>
    <w:p w:rsidR="00EC7F24" w:rsidRDefault="00EC7F24" w:rsidP="00F93EE1">
      <w:pPr>
        <w:spacing w:after="0" w:line="360" w:lineRule="auto"/>
        <w:ind w:firstLine="720"/>
      </w:pPr>
      <w:r>
        <w:t>But that only got us</w:t>
      </w:r>
      <w:r w:rsidR="0030318A">
        <w:t xml:space="preserve"> –</w:t>
      </w:r>
      <w:r>
        <w:t xml:space="preserve"> and</w:t>
      </w:r>
      <w:r w:rsidR="0030318A">
        <w:t xml:space="preserve"> </w:t>
      </w:r>
      <w:r>
        <w:t xml:space="preserve">the Court </w:t>
      </w:r>
      <w:r w:rsidR="0030318A">
        <w:t>–</w:t>
      </w:r>
      <w:r>
        <w:t xml:space="preserve"> to</w:t>
      </w:r>
      <w:r w:rsidR="0030318A">
        <w:t xml:space="preserve"> </w:t>
      </w:r>
      <w:r>
        <w:t>the Constitutional issue.  Is a law favoring Indians</w:t>
      </w:r>
      <w:r w:rsidR="002255B9">
        <w:t xml:space="preserve"> in employment</w:t>
      </w:r>
      <w:r>
        <w:t xml:space="preserve"> an impermissible racial discrimination against non-Indians</w:t>
      </w:r>
      <w:r w:rsidR="00DC574F">
        <w:t xml:space="preserve"> prohibited by the Fifth Amendment</w:t>
      </w:r>
      <w:r w:rsidR="002255B9">
        <w:t>?</w:t>
      </w:r>
      <w:r w:rsidR="00DC574F">
        <w:t xml:space="preserve"> </w:t>
      </w:r>
      <w:r w:rsidR="005D6801">
        <w:t xml:space="preserve"> </w:t>
      </w:r>
      <w:r w:rsidR="00DC574F">
        <w:t>Remember, this was 1974, and treating races equal</w:t>
      </w:r>
      <w:r w:rsidR="002255B9">
        <w:t>ly</w:t>
      </w:r>
      <w:r w:rsidR="00DC574F">
        <w:t xml:space="preserve"> was a major direction for the country.  So we knew that the liberal attitude towards Indian advancement ran into the liberal attitude towards racial equality.</w:t>
      </w:r>
    </w:p>
    <w:p w:rsidR="00E41C2A" w:rsidRDefault="00E41C2A" w:rsidP="00F93EE1">
      <w:pPr>
        <w:spacing w:after="0" w:line="360" w:lineRule="auto"/>
      </w:pPr>
    </w:p>
    <w:p w:rsidR="003D5B22" w:rsidRDefault="00EC7F24" w:rsidP="00F93EE1">
      <w:pPr>
        <w:spacing w:after="0" w:line="360" w:lineRule="auto"/>
        <w:ind w:firstLine="720"/>
      </w:pPr>
      <w:r>
        <w:t>I think that something that happened to me</w:t>
      </w:r>
      <w:r w:rsidR="00DC574F">
        <w:t xml:space="preserve"> riding </w:t>
      </w:r>
      <w:r w:rsidR="0083773B">
        <w:t>from Albuquerque to Window Rock the year before as part of my preparation for the ar</w:t>
      </w:r>
      <w:r w:rsidR="00DC574F">
        <w:t xml:space="preserve">gument in </w:t>
      </w:r>
      <w:r w:rsidR="00DC574F" w:rsidRPr="002255B9">
        <w:rPr>
          <w:i/>
        </w:rPr>
        <w:t>McClanahan v.</w:t>
      </w:r>
      <w:r w:rsidR="005D6801">
        <w:rPr>
          <w:i/>
        </w:rPr>
        <w:t xml:space="preserve"> State Tax Commission of</w:t>
      </w:r>
      <w:r w:rsidR="00DC574F" w:rsidRPr="002255B9">
        <w:rPr>
          <w:i/>
        </w:rPr>
        <w:t xml:space="preserve"> Arizona</w:t>
      </w:r>
      <w:r w:rsidR="005D6801">
        <w:t>, 411 U.S. 164 (1973),</w:t>
      </w:r>
      <w:r w:rsidR="00DC574F">
        <w:t xml:space="preserve"> helped me </w:t>
      </w:r>
      <w:r w:rsidR="00A53E5F">
        <w:t xml:space="preserve">to </w:t>
      </w:r>
      <w:r w:rsidR="006E70C4">
        <w:t>understand something important that I could use in our brief and argument.</w:t>
      </w:r>
      <w:r w:rsidR="002255B9">
        <w:t xml:space="preserve">  </w:t>
      </w:r>
      <w:r w:rsidR="00DC574F">
        <w:t>Sitting near me</w:t>
      </w:r>
      <w:r w:rsidR="002255B9">
        <w:t xml:space="preserve"> on the train</w:t>
      </w:r>
      <w:r w:rsidR="00DC574F">
        <w:t xml:space="preserve"> was </w:t>
      </w:r>
      <w:r w:rsidR="0083773B">
        <w:t>a young man</w:t>
      </w:r>
      <w:r w:rsidR="00DC574F">
        <w:t xml:space="preserve"> in a blue suit</w:t>
      </w:r>
      <w:r w:rsidR="0083773B">
        <w:t xml:space="preserve"> </w:t>
      </w:r>
      <w:proofErr w:type="gramStart"/>
      <w:r w:rsidR="003D5B22">
        <w:t>who</w:t>
      </w:r>
      <w:proofErr w:type="gramEnd"/>
      <w:r w:rsidR="0030318A">
        <w:t xml:space="preserve"> </w:t>
      </w:r>
      <w:r w:rsidR="0083773B">
        <w:t xml:space="preserve">looked </w:t>
      </w:r>
      <w:r w:rsidR="006E70C4">
        <w:t xml:space="preserve">Native American </w:t>
      </w:r>
      <w:r w:rsidR="0083773B">
        <w:t>to me</w:t>
      </w:r>
      <w:r w:rsidR="00DC574F">
        <w:t xml:space="preserve"> and was</w:t>
      </w:r>
      <w:r w:rsidR="0083773B">
        <w:t xml:space="preserve"> deep into reading Cohen</w:t>
      </w:r>
      <w:r w:rsidR="00DC574F">
        <w:t>’s Handbook</w:t>
      </w:r>
      <w:r w:rsidR="0083773B">
        <w:t xml:space="preserve"> on Indian law.  I assumed he was a</w:t>
      </w:r>
      <w:r w:rsidR="00E328B6">
        <w:t xml:space="preserve"> Native American law</w:t>
      </w:r>
      <w:r w:rsidR="0083773B">
        <w:t>yer headed for the Navajo Reservation</w:t>
      </w:r>
      <w:r w:rsidR="003D5B22">
        <w:t>, as I was</w:t>
      </w:r>
      <w:r w:rsidR="00644633">
        <w:t>,</w:t>
      </w:r>
      <w:r w:rsidR="0083773B">
        <w:t xml:space="preserve"> and I</w:t>
      </w:r>
      <w:r w:rsidR="00DC574F">
        <w:t xml:space="preserve"> started a conversation with him.   It only took a few minutes for him to make</w:t>
      </w:r>
      <w:r w:rsidR="0083773B">
        <w:t xml:space="preserve"> it very clear to me that he was not</w:t>
      </w:r>
      <w:r w:rsidR="00E328B6">
        <w:t xml:space="preserve"> Indian</w:t>
      </w:r>
      <w:r w:rsidR="0083773B">
        <w:t>, that he is from one of the oldest Hispanic famil</w:t>
      </w:r>
      <w:r w:rsidR="00DC574F">
        <w:t>i</w:t>
      </w:r>
      <w:r w:rsidR="0083773B">
        <w:t>es in Albuquerque, and that he thinks the Navajos are</w:t>
      </w:r>
      <w:r w:rsidR="00DC574F">
        <w:t xml:space="preserve"> a benighted people and that he hates having to deal with them.</w:t>
      </w:r>
      <w:r w:rsidR="005D6801">
        <w:t xml:space="preserve"> </w:t>
      </w:r>
      <w:r w:rsidR="00DC574F">
        <w:t xml:space="preserve"> </w:t>
      </w:r>
      <w:r w:rsidR="0083773B">
        <w:t>I was shocked.  I went back to my seat and that was that.</w:t>
      </w:r>
      <w:r w:rsidR="00CF5700">
        <w:t xml:space="preserve">  </w:t>
      </w:r>
    </w:p>
    <w:p w:rsidR="003D5B22" w:rsidRDefault="003D5B22" w:rsidP="00F93EE1">
      <w:pPr>
        <w:spacing w:after="0" w:line="360" w:lineRule="auto"/>
        <w:ind w:firstLine="720"/>
      </w:pPr>
    </w:p>
    <w:p w:rsidR="003D5B22" w:rsidRDefault="0083773B" w:rsidP="00F93EE1">
      <w:pPr>
        <w:spacing w:after="0" w:line="360" w:lineRule="auto"/>
        <w:ind w:firstLine="720"/>
      </w:pPr>
      <w:r>
        <w:t xml:space="preserve">But when I started preparing for the brief and argument in </w:t>
      </w:r>
      <w:r w:rsidRPr="00CF5700">
        <w:rPr>
          <w:i/>
        </w:rPr>
        <w:t>Morton</w:t>
      </w:r>
      <w:r>
        <w:t xml:space="preserve"> I thought about that again.  I am sure that young man was racially much mor</w:t>
      </w:r>
      <w:r w:rsidR="00DC574F">
        <w:t xml:space="preserve">e </w:t>
      </w:r>
      <w:r w:rsidR="0030318A">
        <w:t>N</w:t>
      </w:r>
      <w:r w:rsidR="00DC574F">
        <w:t xml:space="preserve">ative American than he was Spanish. </w:t>
      </w:r>
      <w:r>
        <w:t xml:space="preserve"> I then thought of the descendants of Native people in Mexico, who in terms of racial identity </w:t>
      </w:r>
      <w:r w:rsidR="003D5B22">
        <w:t>would be</w:t>
      </w:r>
      <w:r>
        <w:t xml:space="preserve"> Indian</w:t>
      </w:r>
      <w:r w:rsidR="00E328B6">
        <w:t>,</w:t>
      </w:r>
      <w:r w:rsidR="003D5B22">
        <w:t xml:space="preserve"> but we call “Hispanic” and that none of them would receive a preference at the BIA</w:t>
      </w:r>
      <w:r w:rsidR="00DC574F">
        <w:t>.</w:t>
      </w:r>
      <w:r w:rsidR="0030318A">
        <w:t xml:space="preserve">  </w:t>
      </w:r>
      <w:r>
        <w:t xml:space="preserve">I also thought of how Indians from Canada, or from unrecognized tribes do not get a preference in the BIA.  </w:t>
      </w:r>
    </w:p>
    <w:p w:rsidR="003D5B22" w:rsidRDefault="003D5B22" w:rsidP="00F93EE1">
      <w:pPr>
        <w:spacing w:after="0" w:line="360" w:lineRule="auto"/>
        <w:ind w:firstLine="720"/>
      </w:pPr>
    </w:p>
    <w:p w:rsidR="00616BFB" w:rsidRDefault="00DC574F" w:rsidP="00F93EE1">
      <w:pPr>
        <w:spacing w:after="0" w:line="360" w:lineRule="auto"/>
        <w:ind w:firstLine="720"/>
      </w:pPr>
      <w:r>
        <w:t xml:space="preserve">It became clear to me, that this </w:t>
      </w:r>
      <w:r w:rsidR="0083773B">
        <w:t>preference</w:t>
      </w:r>
      <w:r>
        <w:t xml:space="preserve"> is not based on race at all. </w:t>
      </w:r>
      <w:r w:rsidR="0083773B">
        <w:t xml:space="preserve"> It has to do with the fact that there were people living in what is now the United States long before the Europeans came or the United States was established.  The</w:t>
      </w:r>
      <w:r w:rsidR="003A61C5">
        <w:t xml:space="preserve"> aboriginal people were sovereign and</w:t>
      </w:r>
      <w:r w:rsidR="0083773B">
        <w:t xml:space="preserve"> owned the land.  In treaties or</w:t>
      </w:r>
      <w:r w:rsidR="003A61C5">
        <w:t xml:space="preserve"> otherwise</w:t>
      </w:r>
      <w:r w:rsidR="00CF5700">
        <w:t>,</w:t>
      </w:r>
      <w:r w:rsidR="0083773B">
        <w:t xml:space="preserve"> the United States took</w:t>
      </w:r>
      <w:r w:rsidR="003A61C5">
        <w:t xml:space="preserve"> most of their land but reserved other parts for them and became trustee over </w:t>
      </w:r>
      <w:r w:rsidR="0083773B">
        <w:t>that land</w:t>
      </w:r>
      <w:r w:rsidR="00E328B6">
        <w:t>, and</w:t>
      </w:r>
      <w:r w:rsidR="003A61C5">
        <w:t xml:space="preserve"> with a trust responsibility to those people.  It had nothing to do with race, but with the original ownership of the land</w:t>
      </w:r>
      <w:r w:rsidR="003D5B22">
        <w:t>, and the federal trust responsibility created by our history</w:t>
      </w:r>
      <w:r w:rsidR="003A61C5">
        <w:t>.</w:t>
      </w:r>
      <w:r w:rsidR="005D6801">
        <w:t xml:space="preserve"> </w:t>
      </w:r>
      <w:r w:rsidR="006E70C4">
        <w:t xml:space="preserve"> It would not have mattered whether the original people were of one race or another. </w:t>
      </w:r>
      <w:r w:rsidR="003D5B22">
        <w:t xml:space="preserve"> </w:t>
      </w:r>
      <w:r w:rsidR="0083773B">
        <w:t>What</w:t>
      </w:r>
      <w:r w:rsidR="003A61C5">
        <w:t xml:space="preserve"> is at issue </w:t>
      </w:r>
      <w:r w:rsidR="0083773B">
        <w:t>is the</w:t>
      </w:r>
      <w:r w:rsidR="00593032">
        <w:t xml:space="preserve"> right of aboriginal peoples, </w:t>
      </w:r>
      <w:r w:rsidR="00CF5700">
        <w:t xml:space="preserve">whatever their race, </w:t>
      </w:r>
      <w:r w:rsidR="00593032">
        <w:t>not something about race.</w:t>
      </w:r>
      <w:r w:rsidR="0083773B">
        <w:t xml:space="preserve"> </w:t>
      </w:r>
    </w:p>
    <w:p w:rsidR="00E41C2A" w:rsidRDefault="00E41C2A" w:rsidP="00F93EE1">
      <w:pPr>
        <w:spacing w:after="0" w:line="360" w:lineRule="auto"/>
      </w:pPr>
    </w:p>
    <w:p w:rsidR="00924B10" w:rsidRDefault="00616BFB" w:rsidP="00F93EE1">
      <w:pPr>
        <w:spacing w:after="0" w:line="360" w:lineRule="auto"/>
        <w:ind w:firstLine="720"/>
      </w:pPr>
      <w:r>
        <w:t xml:space="preserve">In the end, the Supreme Court in </w:t>
      </w:r>
      <w:r>
        <w:rPr>
          <w:i/>
        </w:rPr>
        <w:t>Morton</w:t>
      </w:r>
      <w:r w:rsidR="005D6801">
        <w:t>,</w:t>
      </w:r>
      <w:r>
        <w:rPr>
          <w:i/>
        </w:rPr>
        <w:t xml:space="preserve"> </w:t>
      </w:r>
      <w:r>
        <w:t>in a unanimous opinion</w:t>
      </w:r>
      <w:r w:rsidR="005D6801">
        <w:t>,</w:t>
      </w:r>
      <w:r>
        <w:t xml:space="preserve"> saw it</w:t>
      </w:r>
      <w:r w:rsidR="00593032">
        <w:t xml:space="preserve"> much</w:t>
      </w:r>
      <w:r>
        <w:t xml:space="preserve"> the same way</w:t>
      </w:r>
      <w:r w:rsidR="003D5B22">
        <w:t xml:space="preserve"> though emphasizing federally recognized Tribes</w:t>
      </w:r>
      <w:r>
        <w:t>.</w:t>
      </w:r>
      <w:r w:rsidR="00A53E5F">
        <w:t xml:space="preserve">  </w:t>
      </w:r>
      <w:r w:rsidR="003A61C5">
        <w:t xml:space="preserve">The Court said: </w:t>
      </w:r>
    </w:p>
    <w:p w:rsidR="00E41C2A" w:rsidRDefault="00E41C2A" w:rsidP="00F93EE1">
      <w:pPr>
        <w:spacing w:after="0" w:line="360" w:lineRule="auto"/>
      </w:pPr>
    </w:p>
    <w:p w:rsidR="008D7C75" w:rsidRDefault="008D7C75" w:rsidP="00F93EE1">
      <w:pPr>
        <w:spacing w:after="0" w:line="360" w:lineRule="auto"/>
        <w:ind w:left="1296" w:right="864"/>
      </w:pPr>
      <w:r>
        <w:t xml:space="preserve">Resolution of the instant issue turns on the unique legal status of Indian tribes under federal law and upon the plenary power of Congress, based on a history of treaties and the assumption of a ‘guardian-ward’ status, to legislate on behalf of federally recognized Indian tribes. </w:t>
      </w:r>
      <w:r w:rsidR="00942A91">
        <w:t xml:space="preserve">. . . </w:t>
      </w:r>
      <w:r w:rsidR="003A61C5">
        <w:t xml:space="preserve">This preference </w:t>
      </w:r>
      <w:r w:rsidR="00F221B2">
        <w:t>is not directed towards; a ‘racial’ group consisting of ‘Indians’, instead it applies only to members of federally recognized tribes”</w:t>
      </w:r>
    </w:p>
    <w:p w:rsidR="00A53E5F" w:rsidRDefault="00A53E5F" w:rsidP="00F93EE1">
      <w:pPr>
        <w:spacing w:after="0" w:line="360" w:lineRule="auto"/>
        <w:ind w:left="1296" w:right="864"/>
      </w:pPr>
    </w:p>
    <w:p w:rsidR="003A61C5" w:rsidRDefault="005D6801" w:rsidP="00F93EE1">
      <w:pPr>
        <w:spacing w:after="0" w:line="360" w:lineRule="auto"/>
      </w:pPr>
      <w:r>
        <w:t xml:space="preserve">417 U.S. </w:t>
      </w:r>
      <w:r w:rsidR="008D7C75">
        <w:t>at</w:t>
      </w:r>
      <w:r w:rsidR="00942A91">
        <w:t xml:space="preserve"> 551,</w:t>
      </w:r>
      <w:r w:rsidR="008D7C75">
        <w:t xml:space="preserve"> </w:t>
      </w:r>
      <w:proofErr w:type="gramStart"/>
      <w:r w:rsidR="008D7C75">
        <w:t>553</w:t>
      </w:r>
      <w:r w:rsidR="00942A91">
        <w:t xml:space="preserve"> n.24</w:t>
      </w:r>
      <w:proofErr w:type="gramEnd"/>
      <w:r w:rsidR="0030318A">
        <w:t>.</w:t>
      </w:r>
    </w:p>
    <w:p w:rsidR="00E41C2A" w:rsidRDefault="00E41C2A" w:rsidP="00F93EE1">
      <w:pPr>
        <w:spacing w:after="0" w:line="360" w:lineRule="auto"/>
      </w:pPr>
    </w:p>
    <w:p w:rsidR="008D7C75" w:rsidRDefault="00F221B2" w:rsidP="00F93EE1">
      <w:pPr>
        <w:spacing w:after="0" w:line="360" w:lineRule="auto"/>
      </w:pPr>
      <w:r>
        <w:t>The Court said</w:t>
      </w:r>
      <w:r w:rsidR="003D3020">
        <w:t xml:space="preserve"> the preference for employment in the </w:t>
      </w:r>
      <w:r>
        <w:t xml:space="preserve">BIA </w:t>
      </w:r>
      <w:r w:rsidR="003D3020">
        <w:t>is like</w:t>
      </w:r>
      <w:r>
        <w:t xml:space="preserve"> requiring a Senator to be from the State </w:t>
      </w:r>
      <w:proofErr w:type="gramStart"/>
      <w:r>
        <w:t>he</w:t>
      </w:r>
      <w:proofErr w:type="gramEnd"/>
      <w:r>
        <w:t xml:space="preserve"> or she represents. </w:t>
      </w:r>
      <w:r w:rsidR="008D7C75">
        <w:t xml:space="preserve"> </w:t>
      </w:r>
      <w:r w:rsidR="008D7C75" w:rsidRPr="0030318A">
        <w:rPr>
          <w:i/>
        </w:rPr>
        <w:t>Id</w:t>
      </w:r>
      <w:r w:rsidR="008D7C75">
        <w:t>.</w:t>
      </w:r>
      <w:r>
        <w:t xml:space="preserve">  </w:t>
      </w:r>
      <w:r w:rsidR="003D3020">
        <w:t xml:space="preserve">The Court concluded by stating broadly that </w:t>
      </w:r>
    </w:p>
    <w:p w:rsidR="00E41C2A" w:rsidRDefault="00E41C2A" w:rsidP="00F93EE1">
      <w:pPr>
        <w:spacing w:after="0" w:line="360" w:lineRule="auto"/>
      </w:pPr>
    </w:p>
    <w:p w:rsidR="003D3020" w:rsidRPr="00E328B6" w:rsidRDefault="003D3020" w:rsidP="00F93EE1">
      <w:pPr>
        <w:spacing w:after="0" w:line="360" w:lineRule="auto"/>
        <w:ind w:left="1296" w:right="864"/>
        <w:rPr>
          <w:b/>
        </w:rPr>
      </w:pPr>
      <w:proofErr w:type="gramStart"/>
      <w:r>
        <w:t>on</w:t>
      </w:r>
      <w:proofErr w:type="gramEnd"/>
      <w:r>
        <w:t xml:space="preserve"> numerous occasions this Court specifically has upheld legislation that singles out Indians for particular and special treatment</w:t>
      </w:r>
      <w:r w:rsidR="005D6801">
        <w:t xml:space="preserve">. . . </w:t>
      </w:r>
      <w:r w:rsidR="005D6801" w:rsidRPr="00E328B6">
        <w:rPr>
          <w:b/>
        </w:rPr>
        <w:t xml:space="preserve">. </w:t>
      </w:r>
      <w:r w:rsidRPr="00E328B6">
        <w:rPr>
          <w:b/>
        </w:rPr>
        <w:t xml:space="preserve">As long as the special treatment can be tied rationally to the fulfillment of Congress’ unique obligation towards the Indians, such legislative judgments will not be disturbed.  </w:t>
      </w:r>
    </w:p>
    <w:p w:rsidR="00E41C2A" w:rsidRDefault="00E41C2A" w:rsidP="00F93EE1">
      <w:pPr>
        <w:spacing w:after="0" w:line="360" w:lineRule="auto"/>
        <w:ind w:left="1296" w:right="864"/>
      </w:pPr>
    </w:p>
    <w:p w:rsidR="008D7C75" w:rsidRDefault="008D7C75" w:rsidP="00F93EE1">
      <w:pPr>
        <w:spacing w:after="0" w:line="360" w:lineRule="auto"/>
      </w:pPr>
      <w:r w:rsidRPr="0030318A">
        <w:rPr>
          <w:i/>
        </w:rPr>
        <w:t>Id</w:t>
      </w:r>
      <w:r w:rsidR="0030318A" w:rsidRPr="0030318A">
        <w:rPr>
          <w:i/>
        </w:rPr>
        <w:t>.</w:t>
      </w:r>
      <w:r w:rsidR="00E56B7E">
        <w:t xml:space="preserve"> at 554-555 (emphasis added).</w:t>
      </w:r>
    </w:p>
    <w:p w:rsidR="00E41C2A" w:rsidRDefault="00E41C2A" w:rsidP="00F93EE1">
      <w:pPr>
        <w:spacing w:after="0" w:line="360" w:lineRule="auto"/>
      </w:pPr>
    </w:p>
    <w:p w:rsidR="00930680" w:rsidRDefault="00593032" w:rsidP="00F93EE1">
      <w:pPr>
        <w:spacing w:after="0" w:line="360" w:lineRule="auto"/>
        <w:ind w:firstLine="720"/>
      </w:pPr>
      <w:r>
        <w:t>This</w:t>
      </w:r>
      <w:r w:rsidR="00E56B7E">
        <w:t>, in my view,</w:t>
      </w:r>
      <w:r>
        <w:t xml:space="preserve"> still stands as good law.  But I want to discuss with you its interpretation in </w:t>
      </w:r>
      <w:r>
        <w:rPr>
          <w:i/>
        </w:rPr>
        <w:t xml:space="preserve">Rice v. </w:t>
      </w:r>
      <w:proofErr w:type="spellStart"/>
      <w:r>
        <w:rPr>
          <w:i/>
        </w:rPr>
        <w:t>Cayetano</w:t>
      </w:r>
      <w:proofErr w:type="spellEnd"/>
      <w:r w:rsidR="005D6801">
        <w:t>,</w:t>
      </w:r>
      <w:r w:rsidR="0079452E">
        <w:t xml:space="preserve"> </w:t>
      </w:r>
      <w:r>
        <w:t>528 U.S. 495 (2000).</w:t>
      </w:r>
      <w:r w:rsidR="00333ED5">
        <w:t xml:space="preserve"> </w:t>
      </w:r>
    </w:p>
    <w:p w:rsidR="00E41C2A" w:rsidRDefault="00E41C2A" w:rsidP="00F93EE1">
      <w:pPr>
        <w:spacing w:after="0" w:line="360" w:lineRule="auto"/>
      </w:pPr>
    </w:p>
    <w:p w:rsidR="00E56B7E" w:rsidRDefault="00930680" w:rsidP="00E56B7E">
      <w:pPr>
        <w:spacing w:after="0" w:line="360" w:lineRule="auto"/>
        <w:rPr>
          <w:b/>
          <w:i/>
        </w:rPr>
      </w:pPr>
      <w:r>
        <w:tab/>
      </w:r>
      <w:r w:rsidR="00333ED5">
        <w:t xml:space="preserve"> </w:t>
      </w:r>
      <w:r w:rsidR="001F0445">
        <w:tab/>
      </w:r>
      <w:r w:rsidR="001F0445">
        <w:tab/>
      </w:r>
      <w:r w:rsidR="001F0445">
        <w:tab/>
      </w:r>
      <w:r w:rsidR="001F0445">
        <w:tab/>
      </w:r>
      <w:r w:rsidR="001F0445" w:rsidRPr="001A6E7A">
        <w:rPr>
          <w:b/>
          <w:i/>
        </w:rPr>
        <w:t xml:space="preserve">RICE </w:t>
      </w:r>
      <w:r w:rsidR="0030318A" w:rsidRPr="001A6E7A">
        <w:rPr>
          <w:b/>
          <w:i/>
        </w:rPr>
        <w:t>v.</w:t>
      </w:r>
      <w:r w:rsidR="001F0445" w:rsidRPr="001A6E7A">
        <w:rPr>
          <w:b/>
          <w:i/>
        </w:rPr>
        <w:t xml:space="preserve"> CAYETANO</w:t>
      </w:r>
    </w:p>
    <w:p w:rsidR="00E56B7E" w:rsidRDefault="00E56B7E" w:rsidP="00E56B7E">
      <w:pPr>
        <w:spacing w:after="0" w:line="360" w:lineRule="auto"/>
      </w:pPr>
    </w:p>
    <w:p w:rsidR="00CF5700" w:rsidRDefault="00333ED5" w:rsidP="00F93EE1">
      <w:pPr>
        <w:spacing w:after="0" w:line="360" w:lineRule="auto"/>
        <w:ind w:firstLine="720"/>
      </w:pPr>
      <w:r>
        <w:t>I assume we all know the basic history of Hawaii, how it was a self-governing nation with a King</w:t>
      </w:r>
      <w:r w:rsidR="0079452E">
        <w:t xml:space="preserve"> or Queen</w:t>
      </w:r>
      <w:r>
        <w:t xml:space="preserve"> and nobles and its own </w:t>
      </w:r>
      <w:r w:rsidR="006E70C4">
        <w:t xml:space="preserve">culture and </w:t>
      </w:r>
      <w:r>
        <w:t xml:space="preserve">system of land distribution.  How after Captain Cook </w:t>
      </w:r>
      <w:r w:rsidR="00433459">
        <w:t>“</w:t>
      </w:r>
      <w:r>
        <w:t>discovered</w:t>
      </w:r>
      <w:r w:rsidR="00433459">
        <w:t>”</w:t>
      </w:r>
      <w:r>
        <w:t xml:space="preserve"> it</w:t>
      </w:r>
      <w:r w:rsidR="00433459">
        <w:t xml:space="preserve"> </w:t>
      </w:r>
      <w:r>
        <w:t>European disease</w:t>
      </w:r>
      <w:r w:rsidR="00942A91">
        <w:t>s</w:t>
      </w:r>
      <w:r>
        <w:t xml:space="preserve"> decimated the native population, and American missionaries and planters</w:t>
      </w:r>
      <w:r w:rsidR="00433459">
        <w:t>, who had moved there,</w:t>
      </w:r>
      <w:r>
        <w:t xml:space="preserve"> started becoming more and more influential, and obtained property </w:t>
      </w:r>
      <w:r w:rsidR="00CF5700">
        <w:t xml:space="preserve">and voting </w:t>
      </w:r>
      <w:r>
        <w:t>rights.  Then</w:t>
      </w:r>
      <w:r w:rsidR="00802B89">
        <w:t>,</w:t>
      </w:r>
      <w:r>
        <w:t xml:space="preserve"> in 1893</w:t>
      </w:r>
      <w:r w:rsidR="00942A91">
        <w:t>,</w:t>
      </w:r>
      <w:r w:rsidR="00433459">
        <w:t xml:space="preserve"> the American Navy, absolutely illegally, aided</w:t>
      </w:r>
      <w:r>
        <w:t xml:space="preserve"> a revolt of commercial interests</w:t>
      </w:r>
      <w:r w:rsidR="00433459">
        <w:t xml:space="preserve"> who forced the abdication of the Queen. </w:t>
      </w:r>
      <w:r w:rsidR="000811E3">
        <w:t xml:space="preserve"> I</w:t>
      </w:r>
      <w:r>
        <w:t>n 1897 President McKinley signed a joint resolution of Congress annexing Hawaii to the United States.</w:t>
      </w:r>
      <w:r w:rsidR="00802B89">
        <w:t xml:space="preserve">  </w:t>
      </w:r>
      <w:proofErr w:type="gramStart"/>
      <w:r w:rsidR="00802B89">
        <w:t>30 Stat. 750.</w:t>
      </w:r>
      <w:proofErr w:type="gramEnd"/>
      <w:r>
        <w:t xml:space="preserve">  </w:t>
      </w:r>
    </w:p>
    <w:p w:rsidR="00CF5700" w:rsidRDefault="00CF5700" w:rsidP="00F93EE1">
      <w:pPr>
        <w:spacing w:after="0" w:line="360" w:lineRule="auto"/>
      </w:pPr>
    </w:p>
    <w:p w:rsidR="00067B85" w:rsidRDefault="00333ED5" w:rsidP="00F93EE1">
      <w:pPr>
        <w:spacing w:after="0" w:line="360" w:lineRule="auto"/>
        <w:ind w:firstLine="720"/>
      </w:pPr>
      <w:r>
        <w:t xml:space="preserve">Native Hawaiian leaders </w:t>
      </w:r>
      <w:r w:rsidR="00E56B7E">
        <w:t>later</w:t>
      </w:r>
      <w:r>
        <w:t xml:space="preserve"> made the plight of their people known to Congress.</w:t>
      </w:r>
      <w:r w:rsidR="00E56B7E">
        <w:t xml:space="preserve">  </w:t>
      </w:r>
      <w:r>
        <w:t>In 1921 Congress passed the Hawaiian Homes Commission Act</w:t>
      </w:r>
      <w:r w:rsidR="00E56B7E">
        <w:t>,</w:t>
      </w:r>
      <w:r w:rsidR="00802B89">
        <w:t xml:space="preserve"> Pub. L. </w:t>
      </w:r>
      <w:r w:rsidR="0057311D" w:rsidRPr="0057311D">
        <w:rPr>
          <w:rStyle w:val="Emphasis"/>
          <w:i w:val="0"/>
        </w:rPr>
        <w:t>No</w:t>
      </w:r>
      <w:r w:rsidR="0057311D" w:rsidRPr="0057311D">
        <w:rPr>
          <w:rStyle w:val="st"/>
          <w:i/>
        </w:rPr>
        <w:t>.</w:t>
      </w:r>
      <w:r w:rsidR="00802B89">
        <w:rPr>
          <w:rStyle w:val="st"/>
        </w:rPr>
        <w:t xml:space="preserve"> 67-34, </w:t>
      </w:r>
      <w:r w:rsidR="00067B85">
        <w:t>42 Stat. 108</w:t>
      </w:r>
      <w:r w:rsidR="00E56B7E">
        <w:t>,</w:t>
      </w:r>
      <w:r w:rsidR="00067B85">
        <w:t xml:space="preserve"> which  made 200,000 acres of land available to Native Hawaiians defined as “any descendant of not less than one-half part of the blood of the races inhabiting the Hawaiian Islands previous to 1778”.</w:t>
      </w:r>
      <w:r w:rsidR="00802B89">
        <w:t xml:space="preserve"> </w:t>
      </w:r>
      <w:r w:rsidR="00942A91">
        <w:t xml:space="preserve"> </w:t>
      </w:r>
      <w:proofErr w:type="gramStart"/>
      <w:r w:rsidR="00802B89">
        <w:rPr>
          <w:i/>
        </w:rPr>
        <w:t>Id.</w:t>
      </w:r>
      <w:r w:rsidR="00802B89">
        <w:t xml:space="preserve"> § 201, 42 Stat. at 108.</w:t>
      </w:r>
      <w:proofErr w:type="gramEnd"/>
      <w:r w:rsidR="001A6E7A">
        <w:t xml:space="preserve">  </w:t>
      </w:r>
      <w:r w:rsidR="00067B85">
        <w:t xml:space="preserve">Hawaiian spokesmen argued against that restrictive definition, but the planters wanted it so that in another generation or two they could get the land, because there would be no one left like that. </w:t>
      </w:r>
      <w:r w:rsidR="00802B89">
        <w:t xml:space="preserve"> </w:t>
      </w:r>
      <w:r w:rsidR="00067B85">
        <w:t>The planters won in Congress</w:t>
      </w:r>
      <w:r w:rsidR="00E56B7E">
        <w:t xml:space="preserve">, but </w:t>
      </w:r>
      <w:r w:rsidR="006E70C4">
        <w:t>t</w:t>
      </w:r>
      <w:r w:rsidR="00E56B7E">
        <w:t>here are still many Native Hawaiians who fit this description.  Importantly,</w:t>
      </w:r>
      <w:r w:rsidR="00067B85">
        <w:t xml:space="preserve"> this was a Congressional recognition of a special right for native Hawaiians, just as there are special rights for the aboriginal peoples of the mainland United States and Alaska.</w:t>
      </w:r>
    </w:p>
    <w:p w:rsidR="00E41C2A" w:rsidRDefault="00E41C2A" w:rsidP="00F93EE1">
      <w:pPr>
        <w:spacing w:after="0" w:line="360" w:lineRule="auto"/>
      </w:pPr>
    </w:p>
    <w:p w:rsidR="00A47AB3" w:rsidRDefault="00067B85" w:rsidP="00F93EE1">
      <w:pPr>
        <w:spacing w:after="0" w:line="360" w:lineRule="auto"/>
        <w:ind w:firstLine="720"/>
      </w:pPr>
      <w:r>
        <w:t xml:space="preserve">When Hawaii became a State, it agreed to adopt the Homelands </w:t>
      </w:r>
      <w:r w:rsidR="00CF5700">
        <w:t>A</w:t>
      </w:r>
      <w:r>
        <w:t xml:space="preserve">ct as part of its constitution and the United States transferred to Hawaii title to all the public property the United States had in the Territory </w:t>
      </w:r>
      <w:r w:rsidR="00E56B7E">
        <w:t xml:space="preserve">except for </w:t>
      </w:r>
      <w:r>
        <w:t xml:space="preserve">pieces it kept for its own use.  It listed the use Hawaii could make of the land </w:t>
      </w:r>
      <w:r w:rsidR="00A47AB3">
        <w:t xml:space="preserve">which included very general authority to use the land to support home ownership and farms but also specifically “for the betterment of the conditions of </w:t>
      </w:r>
      <w:r w:rsidR="0030318A">
        <w:t>N</w:t>
      </w:r>
      <w:r w:rsidR="00A47AB3">
        <w:t>ative Hawaiians, as defined in the Hawaiian Homes Commission Act.”</w:t>
      </w:r>
      <w:r w:rsidR="00E41C2A">
        <w:t xml:space="preserve">  </w:t>
      </w:r>
      <w:proofErr w:type="gramStart"/>
      <w:r w:rsidR="0057311D" w:rsidRPr="0057311D">
        <w:rPr>
          <w:i/>
        </w:rPr>
        <w:t>See</w:t>
      </w:r>
      <w:r w:rsidR="00172C7F">
        <w:rPr>
          <w:i/>
        </w:rPr>
        <w:t xml:space="preserve"> Rice</w:t>
      </w:r>
      <w:r w:rsidR="00172C7F">
        <w:t>,</w:t>
      </w:r>
      <w:r w:rsidR="00A47AB3">
        <w:t xml:space="preserve"> 528 U.S. at 5</w:t>
      </w:r>
      <w:r w:rsidR="007121DB">
        <w:t>08 (quoting Hawaii Admission Act, Pub.</w:t>
      </w:r>
      <w:proofErr w:type="gramEnd"/>
      <w:r w:rsidR="007121DB">
        <w:t xml:space="preserve"> </w:t>
      </w:r>
      <w:proofErr w:type="gramStart"/>
      <w:r w:rsidR="007121DB">
        <w:t>L. No. 86-3, §5(f), 73 Stat. 4, 6 (1959)).</w:t>
      </w:r>
      <w:proofErr w:type="gramEnd"/>
    </w:p>
    <w:p w:rsidR="00E41C2A" w:rsidRDefault="00E41C2A" w:rsidP="00F93EE1">
      <w:pPr>
        <w:spacing w:after="0" w:line="360" w:lineRule="auto"/>
      </w:pPr>
    </w:p>
    <w:p w:rsidR="00405F29" w:rsidRDefault="00A47AB3" w:rsidP="00F93EE1">
      <w:pPr>
        <w:spacing w:after="0" w:line="360" w:lineRule="auto"/>
        <w:ind w:firstLine="720"/>
      </w:pPr>
      <w:r>
        <w:t xml:space="preserve">Hawaii in 1978 </w:t>
      </w:r>
      <w:r w:rsidR="00E56B7E">
        <w:t>a</w:t>
      </w:r>
      <w:r>
        <w:t xml:space="preserve">mended its Constitution to establish the Office of Hawaiian Affairs which had as its goal “the betterment of conditions of </w:t>
      </w:r>
      <w:r w:rsidR="00E56B7E">
        <w:t>N</w:t>
      </w:r>
      <w:r>
        <w:t>ative Hawaiians [and] Hawaiians</w:t>
      </w:r>
      <w:r w:rsidR="00280504">
        <w:t>.</w:t>
      </w:r>
      <w:r>
        <w:t>”</w:t>
      </w:r>
      <w:r w:rsidR="00172C7F">
        <w:t xml:space="preserve">  </w:t>
      </w:r>
      <w:r w:rsidR="0057311D" w:rsidRPr="0057311D">
        <w:rPr>
          <w:smallCaps/>
        </w:rPr>
        <w:t xml:space="preserve">Haw. </w:t>
      </w:r>
      <w:proofErr w:type="gramStart"/>
      <w:r w:rsidR="0057311D" w:rsidRPr="0057311D">
        <w:rPr>
          <w:smallCaps/>
        </w:rPr>
        <w:t xml:space="preserve">Const. </w:t>
      </w:r>
      <w:r w:rsidR="00172C7F">
        <w:t>art.</w:t>
      </w:r>
      <w:proofErr w:type="gramEnd"/>
      <w:r w:rsidR="00172C7F">
        <w:t xml:space="preserve"> </w:t>
      </w:r>
      <w:proofErr w:type="gramStart"/>
      <w:r w:rsidR="00172C7F">
        <w:t>XII, § 5.</w:t>
      </w:r>
      <w:proofErr w:type="gramEnd"/>
      <w:r w:rsidR="00280504">
        <w:t xml:space="preserve">  </w:t>
      </w:r>
      <w:r w:rsidR="00172C7F">
        <w:rPr>
          <w:i/>
        </w:rPr>
        <w:t>See Rice</w:t>
      </w:r>
      <w:proofErr w:type="gramStart"/>
      <w:r w:rsidR="00172C7F">
        <w:t>,</w:t>
      </w:r>
      <w:r w:rsidR="0079452E">
        <w:t xml:space="preserve"> </w:t>
      </w:r>
      <w:r w:rsidR="00172C7F">
        <w:t xml:space="preserve"> 528</w:t>
      </w:r>
      <w:proofErr w:type="gramEnd"/>
      <w:r w:rsidR="00172C7F">
        <w:t xml:space="preserve"> U.S. at 508</w:t>
      </w:r>
      <w:r w:rsidR="007121DB">
        <w:t xml:space="preserve"> (quoting </w:t>
      </w:r>
      <w:r w:rsidR="0057311D" w:rsidRPr="0057311D">
        <w:rPr>
          <w:smallCaps/>
        </w:rPr>
        <w:t xml:space="preserve">Haw. </w:t>
      </w:r>
      <w:proofErr w:type="gramStart"/>
      <w:r w:rsidR="0057311D" w:rsidRPr="0057311D">
        <w:rPr>
          <w:smallCaps/>
        </w:rPr>
        <w:t>Rev. Stat</w:t>
      </w:r>
      <w:r w:rsidR="007121DB">
        <w:t>. § 10-3).</w:t>
      </w:r>
      <w:proofErr w:type="gramEnd"/>
      <w:r w:rsidR="0079452E">
        <w:t xml:space="preserve"> </w:t>
      </w:r>
      <w:r w:rsidR="00280504">
        <w:t xml:space="preserve"> </w:t>
      </w:r>
      <w:r w:rsidR="001F55CA">
        <w:t xml:space="preserve">Native Hawaiians were defined using the 50% blood requirement with some amendments </w:t>
      </w:r>
      <w:r w:rsidR="00280504">
        <w:t>that allowed</w:t>
      </w:r>
      <w:r w:rsidR="001F55CA">
        <w:t xml:space="preserve"> their children </w:t>
      </w:r>
      <w:r w:rsidR="00280504">
        <w:t xml:space="preserve">to </w:t>
      </w:r>
      <w:r w:rsidR="001F55CA">
        <w:t xml:space="preserve">keep the land, and </w:t>
      </w:r>
      <w:r w:rsidR="00280504">
        <w:t>“</w:t>
      </w:r>
      <w:r w:rsidR="001F55CA">
        <w:t>Hawaiian</w:t>
      </w:r>
      <w:r w:rsidR="00280504">
        <w:t>”</w:t>
      </w:r>
      <w:r w:rsidR="001F55CA">
        <w:t xml:space="preserve"> was defined as anyone who can show </w:t>
      </w:r>
      <w:r w:rsidR="00280504">
        <w:t>they</w:t>
      </w:r>
      <w:r w:rsidR="001F55CA">
        <w:t xml:space="preserve"> had an ancestor on the Island before Cook came.</w:t>
      </w:r>
      <w:r w:rsidR="00280504">
        <w:t xml:space="preserve">  </w:t>
      </w:r>
      <w:r w:rsidR="00405F29">
        <w:t xml:space="preserve">Certain funds and lands were transferred to OHA which was set up as a trust </w:t>
      </w:r>
      <w:r w:rsidR="00CF5700">
        <w:t>governed by elected</w:t>
      </w:r>
      <w:r w:rsidR="00405F29">
        <w:t xml:space="preserve"> trustees.</w:t>
      </w:r>
      <w:r w:rsidR="0079452E">
        <w:t xml:space="preserve"> </w:t>
      </w:r>
      <w:r w:rsidR="001F55CA">
        <w:t xml:space="preserve">Voting for trustees was limited to Hawaiians and </w:t>
      </w:r>
      <w:r w:rsidR="00280504">
        <w:t>N</w:t>
      </w:r>
      <w:r w:rsidR="001F55CA">
        <w:t>ative Hawaiians</w:t>
      </w:r>
      <w:r w:rsidR="00405F29">
        <w:t>, the beneficiaries of OHA.</w:t>
      </w:r>
      <w:r w:rsidR="001F55CA">
        <w:t xml:space="preserve">  Thus if you could show that any of your ancestors were on the Island before Cook, you could vote</w:t>
      </w:r>
      <w:r w:rsidR="00E56B7E">
        <w:t xml:space="preserve"> for trustees</w:t>
      </w:r>
      <w:r w:rsidR="001F55CA">
        <w:t xml:space="preserve">, but if you had no such connection you could not. </w:t>
      </w:r>
      <w:r w:rsidR="00172C7F">
        <w:t xml:space="preserve">  </w:t>
      </w:r>
      <w:proofErr w:type="gramStart"/>
      <w:r w:rsidR="00172C7F">
        <w:t>528 U.S. at 509-10.</w:t>
      </w:r>
      <w:proofErr w:type="gramEnd"/>
    </w:p>
    <w:p w:rsidR="00E41C2A" w:rsidRDefault="00E41C2A" w:rsidP="00F93EE1">
      <w:pPr>
        <w:spacing w:after="0" w:line="360" w:lineRule="auto"/>
      </w:pPr>
    </w:p>
    <w:p w:rsidR="00405F29" w:rsidRPr="00172C7F" w:rsidRDefault="00405F29" w:rsidP="00F93EE1">
      <w:pPr>
        <w:spacing w:after="0" w:line="360" w:lineRule="auto"/>
        <w:ind w:firstLine="720"/>
      </w:pPr>
      <w:r>
        <w:t>Mr. Rice, who had no such ancestor, was denied the right to vote</w:t>
      </w:r>
      <w:r w:rsidR="006E70C4">
        <w:t xml:space="preserve"> for OHA trustees</w:t>
      </w:r>
      <w:r>
        <w:t xml:space="preserve"> and sued in federal court.  The District Court and Ninth Circuit upheld the OHA voting requirement </w:t>
      </w:r>
      <w:r w:rsidR="00CF5700">
        <w:t>but</w:t>
      </w:r>
      <w:r>
        <w:t xml:space="preserve"> the Supreme Court granted </w:t>
      </w:r>
      <w:r w:rsidRPr="00280504">
        <w:rPr>
          <w:i/>
        </w:rPr>
        <w:t>Rice’s</w:t>
      </w:r>
      <w:r>
        <w:t xml:space="preserve"> petition for certiorari. </w:t>
      </w:r>
      <w:r w:rsidR="00172C7F">
        <w:t xml:space="preserve">  </w:t>
      </w:r>
      <w:proofErr w:type="gramStart"/>
      <w:r w:rsidR="00172C7F">
        <w:rPr>
          <w:i/>
        </w:rPr>
        <w:t>Id.</w:t>
      </w:r>
      <w:r w:rsidR="00172C7F">
        <w:t xml:space="preserve"> at 511.</w:t>
      </w:r>
      <w:proofErr w:type="gramEnd"/>
    </w:p>
    <w:p w:rsidR="00E41C2A" w:rsidRDefault="00E41C2A" w:rsidP="00F93EE1">
      <w:pPr>
        <w:spacing w:after="0" w:line="360" w:lineRule="auto"/>
      </w:pPr>
    </w:p>
    <w:p w:rsidR="00405F29" w:rsidRDefault="00405F29" w:rsidP="00F93EE1">
      <w:pPr>
        <w:spacing w:after="0" w:line="360" w:lineRule="auto"/>
        <w:ind w:firstLine="720"/>
      </w:pPr>
      <w:r>
        <w:t>The</w:t>
      </w:r>
      <w:r w:rsidR="00E56B7E">
        <w:t xml:space="preserve"> Supreme</w:t>
      </w:r>
      <w:r>
        <w:t xml:space="preserve"> Court</w:t>
      </w:r>
      <w:r w:rsidR="00E56B7E">
        <w:t>, in an opinion written by Justice Kennedy who was joined by Chief Justice Rehnquist and Justices O’Connor, Scalia and Thomas,</w:t>
      </w:r>
      <w:r>
        <w:t xml:space="preserve"> ruled that the voting restriction violated </w:t>
      </w:r>
      <w:r w:rsidRPr="00064449">
        <w:rPr>
          <w:i/>
        </w:rPr>
        <w:t>Rice’s</w:t>
      </w:r>
      <w:r>
        <w:t xml:space="preserve"> right under the 15</w:t>
      </w:r>
      <w:r w:rsidRPr="00CF5700">
        <w:t xml:space="preserve">th </w:t>
      </w:r>
      <w:r>
        <w:t>Amendment</w:t>
      </w:r>
      <w:r w:rsidR="00930680">
        <w:t>, which</w:t>
      </w:r>
      <w:r>
        <w:t xml:space="preserve"> provides</w:t>
      </w:r>
      <w:r w:rsidR="00930680">
        <w:t>:</w:t>
      </w:r>
    </w:p>
    <w:p w:rsidR="00E41C2A" w:rsidRDefault="00E41C2A" w:rsidP="00F93EE1">
      <w:pPr>
        <w:spacing w:after="0" w:line="360" w:lineRule="auto"/>
      </w:pPr>
    </w:p>
    <w:p w:rsidR="00405F29" w:rsidRDefault="00405F29" w:rsidP="00F93EE1">
      <w:pPr>
        <w:spacing w:after="0" w:line="360" w:lineRule="auto"/>
        <w:ind w:left="1296" w:right="864"/>
      </w:pPr>
      <w:r>
        <w:t xml:space="preserve">The right of citizens of the United States to vote shall not be denied or abridged by the United States or by any State on account of race, color, or previous condition of servitude. </w:t>
      </w:r>
    </w:p>
    <w:p w:rsidR="00E41C2A" w:rsidRDefault="00E41C2A" w:rsidP="00F93EE1">
      <w:pPr>
        <w:spacing w:after="0" w:line="360" w:lineRule="auto"/>
        <w:ind w:left="1296" w:right="864"/>
      </w:pPr>
    </w:p>
    <w:p w:rsidR="00930680" w:rsidRDefault="00930680" w:rsidP="00F93EE1">
      <w:pPr>
        <w:spacing w:after="0" w:line="360" w:lineRule="auto"/>
      </w:pPr>
      <w:r>
        <w:t>The Court held that “Ancestry can be a proxy for race.</w:t>
      </w:r>
      <w:r w:rsidR="00280504">
        <w:t xml:space="preserve">  </w:t>
      </w:r>
      <w:r>
        <w:t>It is that proxy here.”</w:t>
      </w:r>
      <w:r w:rsidR="0030318A">
        <w:t xml:space="preserve">  </w:t>
      </w:r>
      <w:proofErr w:type="gramStart"/>
      <w:r w:rsidRPr="0030318A">
        <w:rPr>
          <w:i/>
        </w:rPr>
        <w:t>Id</w:t>
      </w:r>
      <w:r w:rsidR="0030318A">
        <w:t>.</w:t>
      </w:r>
      <w:r>
        <w:t xml:space="preserve"> at 514.</w:t>
      </w:r>
      <w:proofErr w:type="gramEnd"/>
    </w:p>
    <w:p w:rsidR="00930680" w:rsidRDefault="00930680" w:rsidP="00F93EE1">
      <w:pPr>
        <w:spacing w:after="0" w:line="360" w:lineRule="auto"/>
      </w:pPr>
    </w:p>
    <w:p w:rsidR="00064449" w:rsidRDefault="00405F29" w:rsidP="00F93EE1">
      <w:pPr>
        <w:spacing w:after="0" w:line="360" w:lineRule="auto"/>
        <w:ind w:firstLine="720"/>
      </w:pPr>
      <w:r>
        <w:t>The Court</w:t>
      </w:r>
      <w:r w:rsidR="00064449">
        <w:t xml:space="preserve"> </w:t>
      </w:r>
      <w:r>
        <w:t>discusse</w:t>
      </w:r>
      <w:r w:rsidR="00E56B7E">
        <w:t>d</w:t>
      </w:r>
      <w:r>
        <w:t xml:space="preserve"> </w:t>
      </w:r>
      <w:r>
        <w:rPr>
          <w:i/>
        </w:rPr>
        <w:t xml:space="preserve">Morton v. </w:t>
      </w:r>
      <w:proofErr w:type="spellStart"/>
      <w:r>
        <w:rPr>
          <w:i/>
        </w:rPr>
        <w:t>Mancari</w:t>
      </w:r>
      <w:proofErr w:type="spellEnd"/>
      <w:r>
        <w:rPr>
          <w:i/>
        </w:rPr>
        <w:t xml:space="preserve"> </w:t>
      </w:r>
      <w:r>
        <w:t>rather fairly.</w:t>
      </w:r>
      <w:r w:rsidR="00064449">
        <w:t xml:space="preserve">  </w:t>
      </w:r>
      <w:r w:rsidRPr="00064449">
        <w:rPr>
          <w:i/>
        </w:rPr>
        <w:t>Id</w:t>
      </w:r>
      <w:r w:rsidR="00064449" w:rsidRPr="00064449">
        <w:rPr>
          <w:i/>
        </w:rPr>
        <w:t>.</w:t>
      </w:r>
      <w:r>
        <w:t xml:space="preserve"> at </w:t>
      </w:r>
      <w:r w:rsidR="002A4754">
        <w:t>519-520.</w:t>
      </w:r>
      <w:r w:rsidR="00942A91">
        <w:t xml:space="preserve"> </w:t>
      </w:r>
      <w:r w:rsidR="002A4754">
        <w:t xml:space="preserve"> But</w:t>
      </w:r>
      <w:r w:rsidR="00064449">
        <w:t>,</w:t>
      </w:r>
      <w:r w:rsidR="002A4754">
        <w:t xml:space="preserve"> it</w:t>
      </w:r>
      <w:r w:rsidR="00930680">
        <w:t xml:space="preserve"> note</w:t>
      </w:r>
      <w:r w:rsidR="006E70C4">
        <w:t>d</w:t>
      </w:r>
      <w:r w:rsidR="00930680">
        <w:t xml:space="preserve"> that we are not dealing with an Indian Tribe</w:t>
      </w:r>
      <w:r w:rsidR="006E70C4">
        <w:t xml:space="preserve"> (I do not think the BIA is an Indian Tribe either)</w:t>
      </w:r>
      <w:r w:rsidR="00930680">
        <w:t xml:space="preserve"> and</w:t>
      </w:r>
      <w:r w:rsidR="006E70C4">
        <w:t xml:space="preserve"> said</w:t>
      </w:r>
      <w:r w:rsidR="00930680">
        <w:t xml:space="preserve"> </w:t>
      </w:r>
      <w:r w:rsidR="002A4754">
        <w:t>that unlike tribal governments, OHA is an arm of the State of Hawaii</w:t>
      </w:r>
      <w:r w:rsidR="006E70C4">
        <w:t xml:space="preserve">. </w:t>
      </w:r>
      <w:r w:rsidR="00942A91">
        <w:t xml:space="preserve"> </w:t>
      </w:r>
      <w:r w:rsidR="006E70C4">
        <w:t>The Court held that under the Fifteenth Amendment</w:t>
      </w:r>
      <w:r w:rsidR="002A4754">
        <w:t xml:space="preserve"> voting for a State office </w:t>
      </w:r>
      <w:r w:rsidR="006E70C4">
        <w:t>cannot</w:t>
      </w:r>
      <w:r w:rsidR="002A4754">
        <w:t xml:space="preserve"> be limited by excluding some voters on the basis of race</w:t>
      </w:r>
      <w:r w:rsidR="00930680">
        <w:t xml:space="preserve">. </w:t>
      </w:r>
      <w:r w:rsidR="002A4754">
        <w:t xml:space="preserve"> The Court conclude</w:t>
      </w:r>
      <w:r w:rsidR="00942A91">
        <w:t>d</w:t>
      </w:r>
      <w:r w:rsidR="002A4754">
        <w:t xml:space="preserve"> “the Fifteenth Amendment invalidates the electoral qualification based on ancestry</w:t>
      </w:r>
      <w:r w:rsidR="0030318A">
        <w:t>.</w:t>
      </w:r>
      <w:r w:rsidR="002A4754">
        <w:t>”</w:t>
      </w:r>
      <w:r w:rsidR="0030318A">
        <w:t xml:space="preserve">  </w:t>
      </w:r>
      <w:proofErr w:type="gramStart"/>
      <w:r w:rsidR="002A4754" w:rsidRPr="0030318A">
        <w:rPr>
          <w:i/>
        </w:rPr>
        <w:t>Id</w:t>
      </w:r>
      <w:r w:rsidR="002A4754">
        <w:t>. at 524.</w:t>
      </w:r>
      <w:proofErr w:type="gramEnd"/>
      <w:r w:rsidR="00064449">
        <w:t xml:space="preserve"> </w:t>
      </w:r>
    </w:p>
    <w:p w:rsidR="00801646" w:rsidRDefault="00801646" w:rsidP="00F93EE1">
      <w:pPr>
        <w:spacing w:after="0" w:line="360" w:lineRule="auto"/>
        <w:ind w:firstLine="720"/>
      </w:pPr>
    </w:p>
    <w:p w:rsidR="00930680" w:rsidRPr="00942A91" w:rsidRDefault="006A3ADA" w:rsidP="00F93EE1">
      <w:pPr>
        <w:spacing w:after="0" w:line="360" w:lineRule="auto"/>
        <w:ind w:firstLine="720"/>
      </w:pPr>
      <w:r>
        <w:t xml:space="preserve">Justice </w:t>
      </w:r>
      <w:proofErr w:type="spellStart"/>
      <w:r>
        <w:t>Breyer</w:t>
      </w:r>
      <w:proofErr w:type="spellEnd"/>
      <w:r>
        <w:t xml:space="preserve"> joined by Justice Souter concurred in the results, but not in the reasoning.  They d</w:t>
      </w:r>
      <w:r w:rsidR="00064449">
        <w:t>id</w:t>
      </w:r>
      <w:r>
        <w:t xml:space="preserve"> not concur in the Court</w:t>
      </w:r>
      <w:r w:rsidR="00942A91">
        <w:t>’</w:t>
      </w:r>
      <w:r>
        <w:t>s “sweeping prohibition</w:t>
      </w:r>
      <w:r w:rsidR="0030318A">
        <w:t>.</w:t>
      </w:r>
      <w:r>
        <w:t>”</w:t>
      </w:r>
      <w:r w:rsidR="0030318A">
        <w:t xml:space="preserve">  </w:t>
      </w:r>
      <w:proofErr w:type="gramStart"/>
      <w:r w:rsidRPr="0030318A">
        <w:rPr>
          <w:i/>
        </w:rPr>
        <w:t>Id</w:t>
      </w:r>
      <w:r w:rsidR="0030318A">
        <w:t>.</w:t>
      </w:r>
      <w:r>
        <w:t xml:space="preserve"> at 525.</w:t>
      </w:r>
      <w:proofErr w:type="gramEnd"/>
      <w:r>
        <w:t xml:space="preserve">  </w:t>
      </w:r>
      <w:r w:rsidR="00064449">
        <w:t xml:space="preserve">Justice </w:t>
      </w:r>
      <w:proofErr w:type="spellStart"/>
      <w:r w:rsidR="00064449">
        <w:t>Breyer</w:t>
      </w:r>
      <w:proofErr w:type="spellEnd"/>
      <w:r>
        <w:t xml:space="preserve"> describe</w:t>
      </w:r>
      <w:r w:rsidR="00942A91">
        <w:t>d</w:t>
      </w:r>
      <w:r>
        <w:t xml:space="preserve"> the broad sources of OHA funds and the broad designation of the use of those funds, and agree</w:t>
      </w:r>
      <w:r w:rsidR="00942A91">
        <w:t>d</w:t>
      </w:r>
      <w:r>
        <w:t xml:space="preserve"> with the majority that “OHA is simply a special purpose department of Hawaii’s state government” not equal to an Indian tribe.</w:t>
      </w:r>
      <w:r w:rsidR="00942A91">
        <w:t xml:space="preserve">  </w:t>
      </w:r>
      <w:proofErr w:type="gramStart"/>
      <w:r w:rsidR="00942A91">
        <w:rPr>
          <w:i/>
        </w:rPr>
        <w:t>Id.</w:t>
      </w:r>
      <w:r w:rsidR="00942A91">
        <w:t xml:space="preserve"> at 526.</w:t>
      </w:r>
      <w:proofErr w:type="gramEnd"/>
      <w:r w:rsidR="00942A91">
        <w:t xml:space="preserve"> </w:t>
      </w:r>
      <w:r w:rsidR="0030318A">
        <w:t xml:space="preserve">  </w:t>
      </w:r>
      <w:r w:rsidR="00FB3AF6">
        <w:t xml:space="preserve">But what really disturbed Justices </w:t>
      </w:r>
      <w:proofErr w:type="spellStart"/>
      <w:r w:rsidR="00FB3AF6">
        <w:t>Breyer</w:t>
      </w:r>
      <w:proofErr w:type="spellEnd"/>
      <w:r w:rsidR="00FB3AF6">
        <w:t xml:space="preserve"> and Souter is that “individuals who are less than one five-hundredth original Hawaiian” are counted as Hawaiians and can vote while people with no trace of Hawaiian ancestry cannot.  </w:t>
      </w:r>
      <w:r w:rsidR="00FB3AF6" w:rsidRPr="00E41C2A">
        <w:rPr>
          <w:i/>
        </w:rPr>
        <w:t>Id</w:t>
      </w:r>
      <w:r w:rsidR="00FB3AF6">
        <w:t>.</w:t>
      </w:r>
      <w:r w:rsidR="0058374D">
        <w:t xml:space="preserve">  </w:t>
      </w:r>
      <w:r w:rsidR="00FB3AF6">
        <w:t xml:space="preserve">Justice </w:t>
      </w:r>
      <w:proofErr w:type="spellStart"/>
      <w:r w:rsidR="00FB3AF6">
        <w:t>Breyer</w:t>
      </w:r>
      <w:proofErr w:type="spellEnd"/>
      <w:r w:rsidR="00942A91">
        <w:t xml:space="preserve"> said</w:t>
      </w:r>
      <w:r w:rsidR="00FB3AF6">
        <w:t xml:space="preserve"> “I have been unable to find any Native Am</w:t>
      </w:r>
      <w:r w:rsidR="0030318A">
        <w:t>e</w:t>
      </w:r>
      <w:r w:rsidR="00FB3AF6">
        <w:t>rican tribal definition that is so broad.”</w:t>
      </w:r>
      <w:r w:rsidR="00942A91">
        <w:t xml:space="preserve">  </w:t>
      </w:r>
      <w:r w:rsidR="00942A91">
        <w:rPr>
          <w:i/>
        </w:rPr>
        <w:t>Id.</w:t>
      </w:r>
    </w:p>
    <w:p w:rsidR="00E41C2A" w:rsidRDefault="00E41C2A" w:rsidP="00F93EE1">
      <w:pPr>
        <w:spacing w:after="0" w:line="360" w:lineRule="auto"/>
      </w:pPr>
    </w:p>
    <w:p w:rsidR="00FB3AF6" w:rsidRDefault="00FB3AF6" w:rsidP="00F93EE1">
      <w:pPr>
        <w:spacing w:after="0" w:line="360" w:lineRule="auto"/>
        <w:ind w:firstLine="720"/>
      </w:pPr>
      <w:r>
        <w:t>This concurring opinion is thus important because it suggests that somewhere there</w:t>
      </w:r>
      <w:r w:rsidR="00261CFD">
        <w:t xml:space="preserve"> may be </w:t>
      </w:r>
      <w:r>
        <w:t xml:space="preserve">a limit on the minimum amount of native blood a person can have and still be a member of an Indian tribe in the eyes of the Court.  Later in the opinion Justice </w:t>
      </w:r>
      <w:proofErr w:type="spellStart"/>
      <w:r>
        <w:t>Breyer</w:t>
      </w:r>
      <w:proofErr w:type="spellEnd"/>
      <w:r>
        <w:t xml:space="preserve"> puts it this way:</w:t>
      </w:r>
    </w:p>
    <w:p w:rsidR="00E41C2A" w:rsidRDefault="00E41C2A" w:rsidP="00F93EE1">
      <w:pPr>
        <w:spacing w:after="0" w:line="360" w:lineRule="auto"/>
      </w:pPr>
    </w:p>
    <w:p w:rsidR="00FB3AF6" w:rsidRDefault="0030318A" w:rsidP="00F93EE1">
      <w:pPr>
        <w:spacing w:after="0" w:line="360" w:lineRule="auto"/>
        <w:ind w:left="1296" w:right="864"/>
      </w:pPr>
      <w:r>
        <w:t>O</w:t>
      </w:r>
      <w:r w:rsidR="00FB3AF6">
        <w:t xml:space="preserve">f course, a Native American tribe has broad authority to define its membership, </w:t>
      </w:r>
      <w:r w:rsidR="00FB3AF6">
        <w:rPr>
          <w:i/>
        </w:rPr>
        <w:t xml:space="preserve">see Santa Clara Pueblo v. Martinez, </w:t>
      </w:r>
      <w:r w:rsidR="00FB3AF6">
        <w:t>436 &amp;</w:t>
      </w:r>
      <w:r w:rsidR="00064449">
        <w:t xml:space="preserve"> </w:t>
      </w:r>
      <w:r w:rsidR="00FB3AF6">
        <w:t xml:space="preserve">U.S. 49, 72. </w:t>
      </w:r>
      <w:proofErr w:type="gramStart"/>
      <w:r w:rsidR="00261CFD">
        <w:t>n.</w:t>
      </w:r>
      <w:r w:rsidR="00FB3AF6">
        <w:t>32 (1978)</w:t>
      </w:r>
      <w:r w:rsidR="00064449">
        <w:t>.</w:t>
      </w:r>
      <w:proofErr w:type="gramEnd"/>
      <w:r w:rsidR="00064449">
        <w:t xml:space="preserve">   T</w:t>
      </w:r>
      <w:r w:rsidR="00FB3AF6">
        <w:t xml:space="preserve">here must, however, be some limit on what is reasonable, at the least when a State (which is not itself a tribe) creates the definition. </w:t>
      </w:r>
    </w:p>
    <w:p w:rsidR="00E41C2A" w:rsidRDefault="00E41C2A" w:rsidP="00F93EE1">
      <w:pPr>
        <w:spacing w:after="0" w:line="360" w:lineRule="auto"/>
        <w:ind w:left="1296" w:right="864"/>
      </w:pPr>
    </w:p>
    <w:p w:rsidR="00261CFD" w:rsidRDefault="00261CFD" w:rsidP="00F93EE1">
      <w:pPr>
        <w:spacing w:after="0" w:line="360" w:lineRule="auto"/>
      </w:pPr>
      <w:proofErr w:type="gramStart"/>
      <w:r w:rsidRPr="0030318A">
        <w:rPr>
          <w:i/>
        </w:rPr>
        <w:t>Id</w:t>
      </w:r>
      <w:r>
        <w:t>. at 527</w:t>
      </w:r>
      <w:r w:rsidR="0030318A">
        <w:t>.</w:t>
      </w:r>
      <w:proofErr w:type="gramEnd"/>
    </w:p>
    <w:p w:rsidR="00E41C2A" w:rsidRDefault="00E41C2A" w:rsidP="00F93EE1">
      <w:pPr>
        <w:spacing w:after="0" w:line="360" w:lineRule="auto"/>
      </w:pPr>
    </w:p>
    <w:p w:rsidR="00261CFD" w:rsidRDefault="00064449" w:rsidP="00F93EE1">
      <w:pPr>
        <w:spacing w:after="0" w:line="360" w:lineRule="auto"/>
        <w:ind w:firstLine="720"/>
      </w:pPr>
      <w:r>
        <w:t xml:space="preserve">Note how cautious the statement is.  </w:t>
      </w:r>
      <w:r w:rsidR="00261CFD">
        <w:t>Ju</w:t>
      </w:r>
      <w:r w:rsidR="0030318A">
        <w:t>s</w:t>
      </w:r>
      <w:r w:rsidR="00261CFD">
        <w:t xml:space="preserve">tice Stevens, joined by Justice Ginsberg dissented. </w:t>
      </w:r>
      <w:r w:rsidR="0079452E">
        <w:t xml:space="preserve">They would have upheld the voting restriction. </w:t>
      </w:r>
      <w:r w:rsidR="00261CFD">
        <w:t xml:space="preserve"> Their opening paragraph</w:t>
      </w:r>
      <w:r w:rsidR="001F0445">
        <w:t>s</w:t>
      </w:r>
      <w:r w:rsidR="0030318A">
        <w:t xml:space="preserve"> </w:t>
      </w:r>
      <w:r w:rsidR="00261CFD">
        <w:t>say it all:</w:t>
      </w:r>
    </w:p>
    <w:p w:rsidR="00E41C2A" w:rsidRDefault="00E41C2A" w:rsidP="00F93EE1">
      <w:pPr>
        <w:spacing w:after="0" w:line="360" w:lineRule="auto"/>
      </w:pPr>
    </w:p>
    <w:p w:rsidR="00064449" w:rsidRPr="0079452E" w:rsidRDefault="00261CFD" w:rsidP="00F93EE1">
      <w:pPr>
        <w:spacing w:after="0" w:line="360" w:lineRule="auto"/>
        <w:ind w:left="1296" w:right="864"/>
        <w:rPr>
          <w:b/>
        </w:rPr>
      </w:pPr>
      <w:r>
        <w:t>The Court’s holding today rests largely on the repetition of glittering generali</w:t>
      </w:r>
      <w:r w:rsidR="001F0445">
        <w:t>ties that have little, if any, application to the compelling history of the State of Hawaii</w:t>
      </w:r>
      <w:r w:rsidR="001F0445" w:rsidRPr="0079452E">
        <w:rPr>
          <w:b/>
        </w:rPr>
        <w:t>.</w:t>
      </w:r>
      <w:r w:rsidR="00064449" w:rsidRPr="0079452E">
        <w:rPr>
          <w:b/>
        </w:rPr>
        <w:t xml:space="preserve">  </w:t>
      </w:r>
      <w:r w:rsidR="001F0445" w:rsidRPr="0079452E">
        <w:rPr>
          <w:b/>
        </w:rPr>
        <w:t>When that history is held up against the manifest purpose of the Fourteenth and Fifteenth Amendments, and against two centuries of this C</w:t>
      </w:r>
      <w:r w:rsidR="0030318A" w:rsidRPr="0079452E">
        <w:rPr>
          <w:b/>
        </w:rPr>
        <w:t>o</w:t>
      </w:r>
      <w:r w:rsidR="001F0445" w:rsidRPr="0079452E">
        <w:rPr>
          <w:b/>
        </w:rPr>
        <w:t xml:space="preserve">urt’s federal Indian law, it is clear to me that Hawaii’s election scheme should be upheld. </w:t>
      </w:r>
      <w:r w:rsidR="00942A91" w:rsidRPr="0079452E">
        <w:rPr>
          <w:b/>
        </w:rPr>
        <w:t xml:space="preserve"> . . . </w:t>
      </w:r>
      <w:r w:rsidR="001F0445" w:rsidRPr="0079452E">
        <w:rPr>
          <w:b/>
        </w:rPr>
        <w:t>OHA was intended to advance multiple goals: to carry out the duties of the trust relationship between the islands’ indigenous peoples and the Government of the United States; to compensate for past wrongs to the ancest</w:t>
      </w:r>
      <w:r w:rsidR="0030318A" w:rsidRPr="0079452E">
        <w:rPr>
          <w:b/>
        </w:rPr>
        <w:t>o</w:t>
      </w:r>
      <w:r w:rsidR="001F0445" w:rsidRPr="0079452E">
        <w:rPr>
          <w:b/>
        </w:rPr>
        <w:t>rs of these peoples; and to help preserve the distinct indigenous culture that existed for centuries before Cook’s arrival.</w:t>
      </w:r>
    </w:p>
    <w:p w:rsidR="0030318A" w:rsidRDefault="001F0445" w:rsidP="00F93EE1">
      <w:pPr>
        <w:spacing w:after="0" w:line="360" w:lineRule="auto"/>
        <w:ind w:left="1296" w:right="864"/>
      </w:pPr>
      <w:r>
        <w:t xml:space="preserve">   </w:t>
      </w:r>
    </w:p>
    <w:p w:rsidR="001F0445" w:rsidRDefault="001F0445" w:rsidP="00F93EE1">
      <w:pPr>
        <w:spacing w:after="0" w:line="360" w:lineRule="auto"/>
      </w:pPr>
      <w:proofErr w:type="gramStart"/>
      <w:r w:rsidRPr="0030318A">
        <w:rPr>
          <w:i/>
        </w:rPr>
        <w:t>Id</w:t>
      </w:r>
      <w:r>
        <w:t xml:space="preserve">. at </w:t>
      </w:r>
      <w:r w:rsidR="00942A91">
        <w:t>527-</w:t>
      </w:r>
      <w:r>
        <w:t>28</w:t>
      </w:r>
      <w:r w:rsidR="0030318A">
        <w:t>.</w:t>
      </w:r>
      <w:proofErr w:type="gramEnd"/>
    </w:p>
    <w:p w:rsidR="008808C0" w:rsidRDefault="008808C0" w:rsidP="00F93EE1">
      <w:pPr>
        <w:spacing w:after="0" w:line="360" w:lineRule="auto"/>
      </w:pPr>
    </w:p>
    <w:p w:rsidR="004634B1" w:rsidRPr="0030318A" w:rsidRDefault="001F0445" w:rsidP="00F93EE1">
      <w:pPr>
        <w:pStyle w:val="NoSpacing"/>
        <w:spacing w:line="360" w:lineRule="auto"/>
        <w:rPr>
          <w:b/>
        </w:rPr>
      </w:pPr>
      <w:r>
        <w:tab/>
      </w:r>
      <w:r>
        <w:tab/>
      </w:r>
      <w:r>
        <w:tab/>
      </w:r>
      <w:r>
        <w:tab/>
      </w:r>
      <w:r>
        <w:tab/>
      </w:r>
      <w:r w:rsidRPr="0030318A">
        <w:rPr>
          <w:b/>
        </w:rPr>
        <w:t>CONCLUSION</w:t>
      </w:r>
    </w:p>
    <w:p w:rsidR="00E33AAD" w:rsidRDefault="004634B1" w:rsidP="00F93EE1">
      <w:pPr>
        <w:spacing w:after="0" w:line="360" w:lineRule="auto"/>
        <w:ind w:firstLine="720"/>
      </w:pPr>
      <w:r>
        <w:t xml:space="preserve">I think </w:t>
      </w:r>
      <w:r>
        <w:rPr>
          <w:i/>
        </w:rPr>
        <w:t xml:space="preserve">Morton v. </w:t>
      </w:r>
      <w:proofErr w:type="spellStart"/>
      <w:r>
        <w:rPr>
          <w:i/>
        </w:rPr>
        <w:t>Mancari</w:t>
      </w:r>
      <w:proofErr w:type="spellEnd"/>
      <w:r>
        <w:rPr>
          <w:i/>
        </w:rPr>
        <w:t xml:space="preserve"> </w:t>
      </w:r>
      <w:r>
        <w:t>is still good law.</w:t>
      </w:r>
      <w:r w:rsidR="00064449">
        <w:t xml:space="preserve">  </w:t>
      </w:r>
      <w:r>
        <w:t>Its conclusion is “</w:t>
      </w:r>
      <w:r w:rsidR="00942A91">
        <w:t>[a]</w:t>
      </w:r>
      <w:r>
        <w:t xml:space="preserve">s long as the special treatment can be tied rationally to the fulfillment of Congress’s unique obligation towards the </w:t>
      </w:r>
      <w:proofErr w:type="gramStart"/>
      <w:r>
        <w:t>Indians,</w:t>
      </w:r>
      <w:proofErr w:type="gramEnd"/>
      <w:r>
        <w:t xml:space="preserve"> such legislative judgments will not be disturbed.”</w:t>
      </w:r>
      <w:r w:rsidR="00942A91">
        <w:t xml:space="preserve">  </w:t>
      </w:r>
      <w:proofErr w:type="gramStart"/>
      <w:r w:rsidR="00942A91">
        <w:t>417 U.S. at 555.</w:t>
      </w:r>
      <w:proofErr w:type="gramEnd"/>
      <w:r w:rsidR="00064449">
        <w:t xml:space="preserve">  </w:t>
      </w:r>
      <w:r>
        <w:t xml:space="preserve">I think this </w:t>
      </w:r>
      <w:r w:rsidR="001E73AC">
        <w:t>still stands, at least as far as federal legislation affecting</w:t>
      </w:r>
      <w:r w:rsidR="00E33AAD">
        <w:t xml:space="preserve"> federally recognized</w:t>
      </w:r>
      <w:r w:rsidR="001E73AC">
        <w:t xml:space="preserve"> Indian tribes</w:t>
      </w:r>
      <w:r w:rsidR="00E33AAD">
        <w:t xml:space="preserve"> and their members</w:t>
      </w:r>
      <w:r w:rsidR="001E73AC">
        <w:t xml:space="preserve"> is concerned.</w:t>
      </w:r>
    </w:p>
    <w:p w:rsidR="00E33AAD" w:rsidRDefault="00E33AAD" w:rsidP="00F93EE1">
      <w:pPr>
        <w:pStyle w:val="NoSpacing"/>
        <w:spacing w:line="360" w:lineRule="auto"/>
      </w:pPr>
    </w:p>
    <w:p w:rsidR="001E73AC" w:rsidRDefault="001E73AC" w:rsidP="00F93EE1">
      <w:pPr>
        <w:spacing w:after="0" w:line="360" w:lineRule="auto"/>
        <w:ind w:firstLine="720"/>
      </w:pPr>
      <w:r>
        <w:t xml:space="preserve">But some things need to be clearer. </w:t>
      </w:r>
      <w:r w:rsidR="004634B1">
        <w:t xml:space="preserve"> The </w:t>
      </w:r>
      <w:r>
        <w:t>use of the word “Indian</w:t>
      </w:r>
      <w:r w:rsidR="00064449">
        <w:t>”</w:t>
      </w:r>
      <w:r>
        <w:t xml:space="preserve"> may be too limiting. </w:t>
      </w:r>
      <w:r w:rsidR="004634B1">
        <w:t xml:space="preserve"> The federal government’s obligation is to the first people of all the land the United States occupies.</w:t>
      </w:r>
      <w:r w:rsidR="00064449">
        <w:t xml:space="preserve">  </w:t>
      </w:r>
      <w:r w:rsidR="004634B1">
        <w:t xml:space="preserve">It was theirs, and one way or the </w:t>
      </w:r>
      <w:r w:rsidR="00064449">
        <w:t xml:space="preserve">other the </w:t>
      </w:r>
      <w:r w:rsidR="004634B1">
        <w:t xml:space="preserve">United States took it.  It is more accurate to refer to </w:t>
      </w:r>
      <w:r>
        <w:t>“</w:t>
      </w:r>
      <w:r w:rsidR="004634B1">
        <w:t>first inhabitants</w:t>
      </w:r>
      <w:r>
        <w:t>”</w:t>
      </w:r>
      <w:r w:rsidR="004634B1">
        <w:t xml:space="preserve"> or </w:t>
      </w:r>
      <w:r>
        <w:t>“</w:t>
      </w:r>
      <w:r w:rsidR="004634B1">
        <w:t>aboriginal owners</w:t>
      </w:r>
      <w:r w:rsidR="00064449">
        <w:t>.</w:t>
      </w:r>
      <w:r>
        <w:t>”</w:t>
      </w:r>
      <w:r w:rsidR="00064449">
        <w:t xml:space="preserve">  </w:t>
      </w:r>
      <w:r w:rsidR="004634B1">
        <w:t>The federal duty certainly applies to Alaskan Natives, whether they are anthropologically Indians or not,</w:t>
      </w:r>
      <w:r>
        <w:t xml:space="preserve"> and </w:t>
      </w:r>
      <w:r w:rsidR="004634B1">
        <w:t>in the same way to the original peoples of Hawaii.</w:t>
      </w:r>
    </w:p>
    <w:p w:rsidR="001E73AC" w:rsidRDefault="001E73AC" w:rsidP="00F93EE1">
      <w:pPr>
        <w:pStyle w:val="NoSpacing"/>
        <w:spacing w:line="360" w:lineRule="auto"/>
      </w:pPr>
    </w:p>
    <w:p w:rsidR="001E73AC" w:rsidRDefault="001A6E7A" w:rsidP="00F93EE1">
      <w:pPr>
        <w:spacing w:after="0" w:line="360" w:lineRule="auto"/>
        <w:ind w:firstLine="720"/>
      </w:pPr>
      <w:r>
        <w:t>I</w:t>
      </w:r>
      <w:r w:rsidR="001E73AC">
        <w:t xml:space="preserve"> also wonder about limitations to “federally recognized Indian Tribes</w:t>
      </w:r>
      <w:r w:rsidR="00BA3C4A">
        <w:t>.</w:t>
      </w:r>
      <w:r w:rsidR="001E73AC">
        <w:t>”</w:t>
      </w:r>
      <w:r w:rsidR="00E41C2A">
        <w:t xml:space="preserve">  </w:t>
      </w:r>
      <w:r w:rsidR="001E73AC">
        <w:t>It seems to me that the United States owes some duty to original inhabitants whether they are currently federally recognized as a “tribe” or not.</w:t>
      </w:r>
      <w:r w:rsidR="00C37473">
        <w:t xml:space="preserve">  After all, not all of the original inhabitants of the United States were even organized as tribes.  Some were villages or organized in any of hundreds of ways. </w:t>
      </w:r>
    </w:p>
    <w:p w:rsidR="001E73AC" w:rsidRDefault="001E73AC" w:rsidP="00F93EE1">
      <w:pPr>
        <w:pStyle w:val="NoSpacing"/>
        <w:spacing w:line="360" w:lineRule="auto"/>
      </w:pPr>
    </w:p>
    <w:p w:rsidR="00E631FB" w:rsidRPr="00E631FB" w:rsidRDefault="001E73AC" w:rsidP="00F93EE1">
      <w:pPr>
        <w:spacing w:after="0" w:line="360" w:lineRule="auto"/>
        <w:ind w:firstLine="720"/>
        <w:rPr>
          <w:b/>
        </w:rPr>
      </w:pPr>
      <w:r>
        <w:t xml:space="preserve">And </w:t>
      </w:r>
      <w:r>
        <w:rPr>
          <w:i/>
        </w:rPr>
        <w:t>Rice</w:t>
      </w:r>
      <w:r w:rsidR="00E33AAD">
        <w:rPr>
          <w:i/>
        </w:rPr>
        <w:t>,</w:t>
      </w:r>
      <w:r>
        <w:t xml:space="preserve"> both in the opinion of the Court and the concurring opinion</w:t>
      </w:r>
      <w:r w:rsidR="00E33AAD">
        <w:t>,</w:t>
      </w:r>
      <w:r>
        <w:t xml:space="preserve"> ra</w:t>
      </w:r>
      <w:r w:rsidR="00E33AAD">
        <w:t>is</w:t>
      </w:r>
      <w:r>
        <w:t xml:space="preserve">es questions about </w:t>
      </w:r>
      <w:r w:rsidR="00E33AAD">
        <w:t xml:space="preserve">required percentages of native </w:t>
      </w:r>
      <w:r w:rsidR="00BA3C4A">
        <w:t>ancestry</w:t>
      </w:r>
      <w:r w:rsidR="00E33AAD">
        <w:t xml:space="preserve"> to be counted as a person with rights as an indigenous person.  It seems to me that this is also an issue that many tribes struggle with.</w:t>
      </w:r>
    </w:p>
    <w:sectPr w:rsidR="00E631FB" w:rsidRPr="00E631FB" w:rsidSect="001A6E7A">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F89" w:rsidRDefault="00D14F89" w:rsidP="004B66D3">
      <w:pPr>
        <w:spacing w:after="0" w:line="240" w:lineRule="auto"/>
      </w:pPr>
      <w:r>
        <w:separator/>
      </w:r>
    </w:p>
  </w:endnote>
  <w:endnote w:type="continuationSeparator" w:id="0">
    <w:p w:rsidR="00D14F89" w:rsidRDefault="00D14F89" w:rsidP="004B6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4C7" w:rsidRDefault="003004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5513"/>
      <w:docPartObj>
        <w:docPartGallery w:val="Page Numbers (Bottom of Page)"/>
        <w:docPartUnique/>
      </w:docPartObj>
    </w:sdtPr>
    <w:sdtEndPr/>
    <w:sdtContent>
      <w:p w:rsidR="004634B1" w:rsidRDefault="00442A14">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8808C0" w:rsidRDefault="00D02AE4" w:rsidP="00D02AE4">
    <w:pPr>
      <w:pStyle w:val="Footer"/>
      <w:jc w:val="right"/>
      <w:rPr>
        <w:sz w:val="14"/>
      </w:rPr>
    </w:pPr>
    <w:r w:rsidRPr="00D02AE4">
      <w:rPr>
        <w:sz w:val="14"/>
      </w:rPr>
      <w:t xml:space="preserve"> </w:t>
    </w:r>
  </w:p>
  <w:p w:rsidR="004634B1" w:rsidRPr="008808C0" w:rsidRDefault="008808C0" w:rsidP="008808C0">
    <w:pPr>
      <w:pStyle w:val="Footer"/>
      <w:jc w:val="right"/>
      <w:rPr>
        <w:sz w:val="14"/>
      </w:rPr>
    </w:pPr>
    <w:r w:rsidRPr="008808C0">
      <w:rPr>
        <w:sz w:val="14"/>
      </w:rPr>
      <w:t xml:space="preserve"> </w:t>
    </w:r>
    <w:r w:rsidR="003004C7" w:rsidRPr="003004C7">
      <w:rPr>
        <w:vanish/>
        <w:sz w:val="14"/>
      </w:rPr>
      <w:t>&lt;YiF&gt;</w:t>
    </w:r>
    <w:r w:rsidRPr="008808C0">
      <w:rPr>
        <w:sz w:val="14"/>
      </w:rPr>
      <w:t xml:space="preserve">120299-1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AE4" w:rsidRPr="008808C0" w:rsidRDefault="003004C7" w:rsidP="008808C0">
    <w:pPr>
      <w:pStyle w:val="Footer"/>
      <w:jc w:val="right"/>
      <w:rPr>
        <w:sz w:val="14"/>
      </w:rPr>
    </w:pPr>
    <w:r w:rsidRPr="003004C7">
      <w:rPr>
        <w:vanish/>
        <w:sz w:val="14"/>
      </w:rPr>
      <w:t>&lt;YiF&gt;</w:t>
    </w:r>
    <w:r w:rsidR="008808C0">
      <w:rPr>
        <w:sz w:val="14"/>
      </w:rPr>
      <w:t>120299-1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F89" w:rsidRDefault="00D14F89" w:rsidP="004B66D3">
      <w:pPr>
        <w:spacing w:after="0" w:line="240" w:lineRule="auto"/>
      </w:pPr>
      <w:r>
        <w:separator/>
      </w:r>
    </w:p>
  </w:footnote>
  <w:footnote w:type="continuationSeparator" w:id="0">
    <w:p w:rsidR="00D14F89" w:rsidRDefault="00D14F89" w:rsidP="004B66D3">
      <w:pPr>
        <w:spacing w:after="0" w:line="240" w:lineRule="auto"/>
      </w:pPr>
      <w:r>
        <w:continuationSeparator/>
      </w:r>
    </w:p>
  </w:footnote>
  <w:footnote w:id="1">
    <w:p w:rsidR="004634B1" w:rsidRDefault="004634B1">
      <w:pPr>
        <w:pStyle w:val="FootnoteText"/>
      </w:pPr>
      <w:r>
        <w:rPr>
          <w:rStyle w:val="FootnoteReference"/>
        </w:rPr>
        <w:footnoteRef/>
      </w:r>
      <w:r>
        <w:t xml:space="preserve"> </w:t>
      </w:r>
      <w:proofErr w:type="gramStart"/>
      <w:r w:rsidR="0003639C">
        <w:t>Pub.</w:t>
      </w:r>
      <w:proofErr w:type="gramEnd"/>
      <w:r w:rsidR="0003639C">
        <w:t xml:space="preserve"> L. No. 92-261, § 11 </w:t>
      </w:r>
      <w:r>
        <w:t>86 Stat.</w:t>
      </w:r>
      <w:r w:rsidR="0003639C">
        <w:t xml:space="preserve"> 103,</w:t>
      </w:r>
      <w:r>
        <w:t xml:space="preserve"> 111, </w:t>
      </w:r>
      <w:r w:rsidR="0003639C">
        <w:t xml:space="preserve">(codified at </w:t>
      </w:r>
      <w:r>
        <w:t xml:space="preserve">42 U.S.C. </w:t>
      </w:r>
      <m:oMath>
        <m:r>
          <w:rPr>
            <w:rFonts w:ascii="Cambria Math" w:hAnsi="Cambria Math"/>
          </w:rPr>
          <m:t>§ 200</m:t>
        </m:r>
      </m:oMath>
      <w:r>
        <w:rPr>
          <w:rFonts w:eastAsiaTheme="minorEastAsia"/>
        </w:rPr>
        <w:t>0e-16(a)</w:t>
      </w:r>
      <w:r w:rsidR="0003639C">
        <w:rPr>
          <w:rFonts w:eastAsiaTheme="minorEastAsia"/>
        </w:rPr>
        <w:t>)</w:t>
      </w:r>
      <w:r>
        <w:rPr>
          <w:rFonts w:eastAsiaTheme="minorEastAsia"/>
        </w:rPr>
        <w:t xml:space="preserve"> (</w:t>
      </w:r>
      <w:r w:rsidR="0028774F">
        <w:rPr>
          <w:rFonts w:eastAsiaTheme="minorEastAsia"/>
        </w:rPr>
        <w:t xml:space="preserve">emphasis </w:t>
      </w:r>
      <w:r>
        <w:rPr>
          <w:rFonts w:eastAsiaTheme="minorEastAsia"/>
        </w:rPr>
        <w:t>added)</w:t>
      </w:r>
      <w:r w:rsidR="0003639C">
        <w:rPr>
          <w:rFonts w:eastAsiaTheme="minorEastAsia"/>
        </w:rPr>
        <w:t>.</w:t>
      </w:r>
    </w:p>
  </w:footnote>
  <w:footnote w:id="2">
    <w:p w:rsidR="004634B1" w:rsidRDefault="004634B1">
      <w:pPr>
        <w:pStyle w:val="FootnoteText"/>
      </w:pPr>
      <w:r>
        <w:rPr>
          <w:rStyle w:val="FootnoteReference"/>
        </w:rPr>
        <w:footnoteRef/>
      </w:r>
      <w:r>
        <w:t xml:space="preserve"> </w:t>
      </w:r>
      <w:proofErr w:type="gramStart"/>
      <w:r w:rsidR="0003639C">
        <w:t>Pub.</w:t>
      </w:r>
      <w:proofErr w:type="gramEnd"/>
      <w:r w:rsidR="0003639C">
        <w:t xml:space="preserve"> </w:t>
      </w:r>
      <w:proofErr w:type="gramStart"/>
      <w:r w:rsidR="0003639C">
        <w:t xml:space="preserve">L. No. 73-383, § 12, </w:t>
      </w:r>
      <w:r>
        <w:t>48 Stat.</w:t>
      </w:r>
      <w:r w:rsidR="0003639C">
        <w:t xml:space="preserve"> 984,</w:t>
      </w:r>
      <w:r>
        <w:t xml:space="preserve"> 986, </w:t>
      </w:r>
      <w:r w:rsidR="0003639C">
        <w:t xml:space="preserve">(codified at </w:t>
      </w:r>
      <w:r>
        <w:t xml:space="preserve">25 U.S.C. </w:t>
      </w:r>
      <m:oMath>
        <m:r>
          <w:rPr>
            <w:rFonts w:ascii="Cambria Math" w:hAnsi="Cambria Math"/>
          </w:rPr>
          <m:t>§</m:t>
        </m:r>
      </m:oMath>
      <w:r>
        <w:rPr>
          <w:rFonts w:eastAsiaTheme="minorEastAsia"/>
        </w:rPr>
        <w:t xml:space="preserve"> 472</w:t>
      </w:r>
      <w:r w:rsidR="0003639C">
        <w:rPr>
          <w:rFonts w:eastAsiaTheme="minorEastAsia"/>
        </w:rPr>
        <w:t>).</w:t>
      </w:r>
      <w:proofErr w:type="gramEnd"/>
    </w:p>
  </w:footnote>
  <w:footnote w:id="3">
    <w:p w:rsidR="00F93EE1" w:rsidRDefault="00F93EE1">
      <w:pPr>
        <w:pStyle w:val="FootnoteText"/>
      </w:pPr>
      <w:r>
        <w:rPr>
          <w:rStyle w:val="FootnoteReference"/>
        </w:rPr>
        <w:footnoteRef/>
      </w:r>
      <w:r>
        <w:t xml:space="preserve"> </w:t>
      </w:r>
      <w:proofErr w:type="gramStart"/>
      <w:r>
        <w:t>417 U.S. 535 (1974).</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4C7" w:rsidRDefault="003004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2AE4" w:rsidRDefault="00D02AE4">
    <w:pPr>
      <w:pStyle w:val="Header"/>
    </w:pPr>
    <w:bookmarkStart w:id="1" w:name="iManFooterComplete"/>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4C7" w:rsidRDefault="003004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E31"/>
    <w:rsid w:val="000258D4"/>
    <w:rsid w:val="0003639C"/>
    <w:rsid w:val="00064449"/>
    <w:rsid w:val="00067B85"/>
    <w:rsid w:val="000811E3"/>
    <w:rsid w:val="00082D50"/>
    <w:rsid w:val="00172C7F"/>
    <w:rsid w:val="001A6E7A"/>
    <w:rsid w:val="001E73AC"/>
    <w:rsid w:val="001F0445"/>
    <w:rsid w:val="001F55CA"/>
    <w:rsid w:val="002119D9"/>
    <w:rsid w:val="002205BC"/>
    <w:rsid w:val="002255B9"/>
    <w:rsid w:val="00245E49"/>
    <w:rsid w:val="00261CFD"/>
    <w:rsid w:val="00280504"/>
    <w:rsid w:val="0028774F"/>
    <w:rsid w:val="002A4754"/>
    <w:rsid w:val="002D4410"/>
    <w:rsid w:val="002F5E7C"/>
    <w:rsid w:val="003004C7"/>
    <w:rsid w:val="0030318A"/>
    <w:rsid w:val="003131F9"/>
    <w:rsid w:val="00333ED5"/>
    <w:rsid w:val="003A61C5"/>
    <w:rsid w:val="003B7373"/>
    <w:rsid w:val="003D0FC3"/>
    <w:rsid w:val="003D3020"/>
    <w:rsid w:val="003D5B22"/>
    <w:rsid w:val="00405F29"/>
    <w:rsid w:val="00433459"/>
    <w:rsid w:val="00442A14"/>
    <w:rsid w:val="004634B1"/>
    <w:rsid w:val="00463C2A"/>
    <w:rsid w:val="00470B46"/>
    <w:rsid w:val="004731F6"/>
    <w:rsid w:val="004B66D3"/>
    <w:rsid w:val="0057311D"/>
    <w:rsid w:val="0058374D"/>
    <w:rsid w:val="00593032"/>
    <w:rsid w:val="005B5FA5"/>
    <w:rsid w:val="005D6801"/>
    <w:rsid w:val="005F2117"/>
    <w:rsid w:val="00616BFB"/>
    <w:rsid w:val="00644633"/>
    <w:rsid w:val="006A12D8"/>
    <w:rsid w:val="006A3ADA"/>
    <w:rsid w:val="006E70C4"/>
    <w:rsid w:val="007121DB"/>
    <w:rsid w:val="00724BCB"/>
    <w:rsid w:val="007553A6"/>
    <w:rsid w:val="007604AE"/>
    <w:rsid w:val="0079452E"/>
    <w:rsid w:val="00801646"/>
    <w:rsid w:val="00802B89"/>
    <w:rsid w:val="00815B22"/>
    <w:rsid w:val="0083773B"/>
    <w:rsid w:val="008808C0"/>
    <w:rsid w:val="008D7C75"/>
    <w:rsid w:val="008F7A68"/>
    <w:rsid w:val="00924B10"/>
    <w:rsid w:val="00930680"/>
    <w:rsid w:val="00942A91"/>
    <w:rsid w:val="00A129F7"/>
    <w:rsid w:val="00A47AB3"/>
    <w:rsid w:val="00A53E5F"/>
    <w:rsid w:val="00A67693"/>
    <w:rsid w:val="00A75C43"/>
    <w:rsid w:val="00AD2291"/>
    <w:rsid w:val="00AD2E8E"/>
    <w:rsid w:val="00AD7FB4"/>
    <w:rsid w:val="00AE1BEB"/>
    <w:rsid w:val="00AF2625"/>
    <w:rsid w:val="00B61B60"/>
    <w:rsid w:val="00BA3C4A"/>
    <w:rsid w:val="00BB3E0A"/>
    <w:rsid w:val="00BD52CC"/>
    <w:rsid w:val="00C206E8"/>
    <w:rsid w:val="00C30144"/>
    <w:rsid w:val="00C37473"/>
    <w:rsid w:val="00C57891"/>
    <w:rsid w:val="00CC38CA"/>
    <w:rsid w:val="00CF1A9A"/>
    <w:rsid w:val="00CF5700"/>
    <w:rsid w:val="00D02AE4"/>
    <w:rsid w:val="00D14F89"/>
    <w:rsid w:val="00D51B41"/>
    <w:rsid w:val="00DC574F"/>
    <w:rsid w:val="00DE5F8F"/>
    <w:rsid w:val="00DF0C46"/>
    <w:rsid w:val="00E24314"/>
    <w:rsid w:val="00E31ECB"/>
    <w:rsid w:val="00E328B6"/>
    <w:rsid w:val="00E33AAD"/>
    <w:rsid w:val="00E41C2A"/>
    <w:rsid w:val="00E56B7E"/>
    <w:rsid w:val="00E631FB"/>
    <w:rsid w:val="00E924FC"/>
    <w:rsid w:val="00E9698D"/>
    <w:rsid w:val="00EB5AD3"/>
    <w:rsid w:val="00EC7F24"/>
    <w:rsid w:val="00F048AB"/>
    <w:rsid w:val="00F221B2"/>
    <w:rsid w:val="00F430B1"/>
    <w:rsid w:val="00F87042"/>
    <w:rsid w:val="00F93EE1"/>
    <w:rsid w:val="00FB0E31"/>
    <w:rsid w:val="00FB19AC"/>
    <w:rsid w:val="00FB3AF6"/>
    <w:rsid w:val="00FD12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E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0E31"/>
    <w:rPr>
      <w:color w:val="0000FF" w:themeColor="hyperlink"/>
      <w:u w:val="single"/>
    </w:rPr>
  </w:style>
  <w:style w:type="paragraph" w:styleId="FootnoteText">
    <w:name w:val="footnote text"/>
    <w:basedOn w:val="Normal"/>
    <w:link w:val="FootnoteTextChar"/>
    <w:uiPriority w:val="99"/>
    <w:semiHidden/>
    <w:unhideWhenUsed/>
    <w:rsid w:val="004B66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66D3"/>
    <w:rPr>
      <w:sz w:val="20"/>
      <w:szCs w:val="20"/>
    </w:rPr>
  </w:style>
  <w:style w:type="character" w:styleId="FootnoteReference">
    <w:name w:val="footnote reference"/>
    <w:basedOn w:val="DefaultParagraphFont"/>
    <w:uiPriority w:val="99"/>
    <w:semiHidden/>
    <w:unhideWhenUsed/>
    <w:rsid w:val="004B66D3"/>
    <w:rPr>
      <w:vertAlign w:val="superscript"/>
    </w:rPr>
  </w:style>
  <w:style w:type="character" w:styleId="PlaceholderText">
    <w:name w:val="Placeholder Text"/>
    <w:basedOn w:val="DefaultParagraphFont"/>
    <w:uiPriority w:val="99"/>
    <w:semiHidden/>
    <w:rsid w:val="004B66D3"/>
    <w:rPr>
      <w:color w:val="808080"/>
    </w:rPr>
  </w:style>
  <w:style w:type="paragraph" w:styleId="BalloonText">
    <w:name w:val="Balloon Text"/>
    <w:basedOn w:val="Normal"/>
    <w:link w:val="BalloonTextChar"/>
    <w:uiPriority w:val="99"/>
    <w:semiHidden/>
    <w:unhideWhenUsed/>
    <w:rsid w:val="004B6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6D3"/>
    <w:rPr>
      <w:rFonts w:ascii="Tahoma" w:hAnsi="Tahoma" w:cs="Tahoma"/>
      <w:sz w:val="16"/>
      <w:szCs w:val="16"/>
    </w:rPr>
  </w:style>
  <w:style w:type="paragraph" w:styleId="Header">
    <w:name w:val="header"/>
    <w:basedOn w:val="Normal"/>
    <w:link w:val="HeaderChar"/>
    <w:uiPriority w:val="99"/>
    <w:semiHidden/>
    <w:unhideWhenUsed/>
    <w:rsid w:val="00CF1A9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F1A9A"/>
  </w:style>
  <w:style w:type="paragraph" w:styleId="Footer">
    <w:name w:val="footer"/>
    <w:basedOn w:val="Normal"/>
    <w:link w:val="FooterChar"/>
    <w:uiPriority w:val="99"/>
    <w:unhideWhenUsed/>
    <w:rsid w:val="00CF1A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A9A"/>
  </w:style>
  <w:style w:type="paragraph" w:styleId="NoSpacing">
    <w:name w:val="No Spacing"/>
    <w:uiPriority w:val="1"/>
    <w:qFormat/>
    <w:rsid w:val="004634B1"/>
    <w:pPr>
      <w:spacing w:after="0" w:line="240" w:lineRule="auto"/>
    </w:pPr>
  </w:style>
  <w:style w:type="character" w:customStyle="1" w:styleId="st">
    <w:name w:val="st"/>
    <w:basedOn w:val="DefaultParagraphFont"/>
    <w:rsid w:val="00802B89"/>
  </w:style>
  <w:style w:type="character" w:styleId="Emphasis">
    <w:name w:val="Emphasis"/>
    <w:basedOn w:val="DefaultParagraphFont"/>
    <w:uiPriority w:val="20"/>
    <w:qFormat/>
    <w:rsid w:val="00802B8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E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0E31"/>
    <w:rPr>
      <w:color w:val="0000FF" w:themeColor="hyperlink"/>
      <w:u w:val="single"/>
    </w:rPr>
  </w:style>
  <w:style w:type="paragraph" w:styleId="FootnoteText">
    <w:name w:val="footnote text"/>
    <w:basedOn w:val="Normal"/>
    <w:link w:val="FootnoteTextChar"/>
    <w:uiPriority w:val="99"/>
    <w:semiHidden/>
    <w:unhideWhenUsed/>
    <w:rsid w:val="004B66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66D3"/>
    <w:rPr>
      <w:sz w:val="20"/>
      <w:szCs w:val="20"/>
    </w:rPr>
  </w:style>
  <w:style w:type="character" w:styleId="FootnoteReference">
    <w:name w:val="footnote reference"/>
    <w:basedOn w:val="DefaultParagraphFont"/>
    <w:uiPriority w:val="99"/>
    <w:semiHidden/>
    <w:unhideWhenUsed/>
    <w:rsid w:val="004B66D3"/>
    <w:rPr>
      <w:vertAlign w:val="superscript"/>
    </w:rPr>
  </w:style>
  <w:style w:type="character" w:styleId="PlaceholderText">
    <w:name w:val="Placeholder Text"/>
    <w:basedOn w:val="DefaultParagraphFont"/>
    <w:uiPriority w:val="99"/>
    <w:semiHidden/>
    <w:rsid w:val="004B66D3"/>
    <w:rPr>
      <w:color w:val="808080"/>
    </w:rPr>
  </w:style>
  <w:style w:type="paragraph" w:styleId="BalloonText">
    <w:name w:val="Balloon Text"/>
    <w:basedOn w:val="Normal"/>
    <w:link w:val="BalloonTextChar"/>
    <w:uiPriority w:val="99"/>
    <w:semiHidden/>
    <w:unhideWhenUsed/>
    <w:rsid w:val="004B6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66D3"/>
    <w:rPr>
      <w:rFonts w:ascii="Tahoma" w:hAnsi="Tahoma" w:cs="Tahoma"/>
      <w:sz w:val="16"/>
      <w:szCs w:val="16"/>
    </w:rPr>
  </w:style>
  <w:style w:type="paragraph" w:styleId="Header">
    <w:name w:val="header"/>
    <w:basedOn w:val="Normal"/>
    <w:link w:val="HeaderChar"/>
    <w:uiPriority w:val="99"/>
    <w:semiHidden/>
    <w:unhideWhenUsed/>
    <w:rsid w:val="00CF1A9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F1A9A"/>
  </w:style>
  <w:style w:type="paragraph" w:styleId="Footer">
    <w:name w:val="footer"/>
    <w:basedOn w:val="Normal"/>
    <w:link w:val="FooterChar"/>
    <w:uiPriority w:val="99"/>
    <w:unhideWhenUsed/>
    <w:rsid w:val="00CF1A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A9A"/>
  </w:style>
  <w:style w:type="paragraph" w:styleId="NoSpacing">
    <w:name w:val="No Spacing"/>
    <w:uiPriority w:val="1"/>
    <w:qFormat/>
    <w:rsid w:val="004634B1"/>
    <w:pPr>
      <w:spacing w:after="0" w:line="240" w:lineRule="auto"/>
    </w:pPr>
  </w:style>
  <w:style w:type="character" w:customStyle="1" w:styleId="st">
    <w:name w:val="st"/>
    <w:basedOn w:val="DefaultParagraphFont"/>
    <w:rsid w:val="00802B89"/>
  </w:style>
  <w:style w:type="character" w:styleId="Emphasis">
    <w:name w:val="Emphasis"/>
    <w:basedOn w:val="DefaultParagraphFont"/>
    <w:uiPriority w:val="20"/>
    <w:qFormat/>
    <w:rsid w:val="00802B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sachse@sonosky.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B9ED6-0FF9-476E-A9EE-A1EB852E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2467</Words>
  <Characters>14067</Characters>
  <Application>Microsoft Office Word</Application>
  <DocSecurity>4</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hsachse</dc:creator>
  <cp:lastModifiedBy>Kate Koch</cp:lastModifiedBy>
  <cp:revision>2</cp:revision>
  <cp:lastPrinted>2013-02-01T19:09:00Z</cp:lastPrinted>
  <dcterms:created xsi:type="dcterms:W3CDTF">2013-02-15T15:20:00Z</dcterms:created>
  <dcterms:modified xsi:type="dcterms:W3CDTF">2013-02-15T15:20:00Z</dcterms:modified>
</cp:coreProperties>
</file>